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F" w:rsidRPr="00490556" w:rsidRDefault="0063511F" w:rsidP="004B0599">
      <w:pPr>
        <w:keepNext/>
        <w:spacing w:line="276" w:lineRule="auto"/>
        <w:jc w:val="center"/>
        <w:outlineLvl w:val="0"/>
        <w:rPr>
          <w:rFonts w:ascii="Garamond" w:hAnsi="Garamond"/>
          <w:b/>
          <w:sz w:val="22"/>
          <w:szCs w:val="22"/>
          <w:lang w:val="hu-HU"/>
        </w:rPr>
      </w:pPr>
      <w:r w:rsidRPr="00490556">
        <w:rPr>
          <w:rFonts w:ascii="Garamond" w:hAnsi="Garamond"/>
          <w:b/>
          <w:sz w:val="22"/>
          <w:szCs w:val="22"/>
          <w:lang w:val="hu-HU"/>
        </w:rPr>
        <w:t>Villamosmérnöki és Informatikai Kar Hallgatói Képviselet</w:t>
      </w:r>
    </w:p>
    <w:p w:rsidR="0063511F" w:rsidRPr="00490556" w:rsidRDefault="0057441C" w:rsidP="004B0599">
      <w:pPr>
        <w:spacing w:line="276" w:lineRule="auto"/>
        <w:jc w:val="center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b/>
          <w:sz w:val="22"/>
          <w:szCs w:val="22"/>
          <w:lang w:val="hu-HU"/>
        </w:rPr>
        <w:t>Kari BME Ösztöndíj</w:t>
      </w:r>
    </w:p>
    <w:p w:rsidR="0063511F" w:rsidRPr="00490556" w:rsidRDefault="0063511F" w:rsidP="004B0599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  <w:r w:rsidRPr="00490556">
        <w:rPr>
          <w:rFonts w:ascii="Garamond" w:hAnsi="Garamond"/>
          <w:b/>
          <w:sz w:val="22"/>
          <w:szCs w:val="22"/>
          <w:lang w:val="hu-HU"/>
        </w:rPr>
        <w:t>Pályázati felhívás</w:t>
      </w:r>
    </w:p>
    <w:p w:rsidR="00F26D25" w:rsidRPr="00490556" w:rsidRDefault="00F26D25" w:rsidP="004B0599">
      <w:pPr>
        <w:spacing w:line="276" w:lineRule="auto"/>
        <w:jc w:val="center"/>
        <w:rPr>
          <w:rFonts w:ascii="Garamond" w:eastAsia="Garamond" w:hAnsi="Garamond" w:cs="Garamond"/>
          <w:b/>
          <w:sz w:val="22"/>
          <w:szCs w:val="22"/>
          <w:lang w:val="hu-HU"/>
        </w:rPr>
      </w:pPr>
      <w:r w:rsidRPr="00490556">
        <w:rPr>
          <w:rFonts w:ascii="Garamond" w:eastAsia="Garamond" w:hAnsi="Garamond" w:cs="Garamond"/>
          <w:b/>
          <w:sz w:val="22"/>
          <w:szCs w:val="22"/>
          <w:lang w:val="hu-HU"/>
        </w:rPr>
        <w:t xml:space="preserve">2018/19 tanév </w:t>
      </w:r>
    </w:p>
    <w:p w:rsidR="0063511F" w:rsidRPr="00490556" w:rsidRDefault="0063511F" w:rsidP="004B0599">
      <w:pPr>
        <w:spacing w:line="276" w:lineRule="auto"/>
        <w:jc w:val="center"/>
        <w:rPr>
          <w:rFonts w:ascii="Garamond" w:hAnsi="Garamond"/>
          <w:b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 Budapesti Műszaki és Gazdaságtudományi Egyetem (BME) Villamosmérnöki és Informatikai Kar (VIK) Hallgatói Képviselet (VIK HK) ösztöndíj pályázatot hirdet a BME Térítési és Juttatási Szabályzat (TJSZ) 11. § alapján a mintatantervben meghatározott köv</w:t>
      </w:r>
      <w:r w:rsidR="00F26D25" w:rsidRPr="00490556">
        <w:rPr>
          <w:rFonts w:ascii="Garamond" w:hAnsi="Garamond"/>
          <w:sz w:val="22"/>
          <w:szCs w:val="22"/>
          <w:lang w:val="hu-HU"/>
        </w:rPr>
        <w:t>etelményeken túlmutató, szakmai és</w:t>
      </w:r>
      <w:r w:rsidRPr="00490556">
        <w:rPr>
          <w:rFonts w:ascii="Garamond" w:hAnsi="Garamond"/>
          <w:sz w:val="22"/>
          <w:szCs w:val="22"/>
          <w:lang w:val="hu-HU"/>
        </w:rPr>
        <w:t xml:space="preserve"> tudományos tevékenység elismerése és ösztönzése érdekében.</w:t>
      </w:r>
    </w:p>
    <w:p w:rsidR="004B0599" w:rsidRPr="00490556" w:rsidRDefault="004B0599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Pályáz</w:t>
      </w:r>
      <w:r w:rsidR="00F26D25" w:rsidRPr="00490556">
        <w:rPr>
          <w:rStyle w:val="Kiemels2"/>
          <w:rFonts w:ascii="Garamond" w:hAnsi="Garamond"/>
          <w:sz w:val="22"/>
          <w:szCs w:val="22"/>
          <w:lang w:val="hu-HU"/>
        </w:rPr>
        <w:t>at</w:t>
      </w:r>
      <w:r w:rsidRPr="00490556">
        <w:rPr>
          <w:rStyle w:val="Kiemels2"/>
          <w:rFonts w:ascii="Garamond" w:hAnsi="Garamond"/>
          <w:sz w:val="22"/>
          <w:szCs w:val="22"/>
          <w:lang w:val="hu-HU"/>
        </w:rPr>
        <w:t xml:space="preserve"> feltételei</w:t>
      </w:r>
    </w:p>
    <w:p w:rsidR="00F26D25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A pályázaton részt vehet a VIK bármely teljes idejű alap- vagy mesterképzésének aktív hallgatói jogviszonnyal rendelkező hallgatója, aki </w:t>
      </w:r>
      <w:r w:rsidR="00F26D25" w:rsidRPr="00490556">
        <w:rPr>
          <w:rFonts w:ascii="Garamond" w:hAnsi="Garamond"/>
          <w:sz w:val="22"/>
          <w:szCs w:val="22"/>
          <w:lang w:val="hu-HU"/>
        </w:rPr>
        <w:t xml:space="preserve">az adott értékelési időszakot megelőző félévben </w:t>
      </w:r>
      <w:r w:rsidRPr="00490556">
        <w:rPr>
          <w:rFonts w:ascii="Garamond" w:hAnsi="Garamond"/>
          <w:sz w:val="22"/>
          <w:szCs w:val="22"/>
          <w:lang w:val="hu-HU"/>
        </w:rPr>
        <w:t xml:space="preserve">legalább 20 ösztöndíjszámítást befolyásoló kreditet szerzett, és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BSc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képzés esetén legalább 3,50,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MSc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képzés esetén legalább 4,00 súlyozott tanulmányi átlagot ért el. (A kreditkritériumot nem kell teljesíteniük azon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MSc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képzésben részt vevő hallgatóknak, akik a 2017/18. tanév őszi félévében alapképzésben szereztek oklevelet.)</w:t>
      </w: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Azon hallgatók, akik „A” kategóriás Kari BME ösztöndíjban részesülnek, okleveles elismerést vehetnek át a Kari Tanács keretein belül. „A” kategóriás Kari BME ösztöndíjban részesülnek azon hallgatók, akiket a pályázatokat véleményező jelen kiírás szerinti bizottság erre javasol, és a pályázatok elbírálása során erre vonatkozóan a VIK HK által meghatározott pontszámot elérik.</w:t>
      </w:r>
    </w:p>
    <w:p w:rsidR="004B0599" w:rsidRPr="00490556" w:rsidRDefault="004B0599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F26D25" w:rsidP="004B0599">
      <w:pPr>
        <w:pStyle w:val="Szvegtrzs"/>
        <w:spacing w:after="0" w:line="276" w:lineRule="auto"/>
        <w:jc w:val="both"/>
        <w:rPr>
          <w:rStyle w:val="Kiemels2"/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E</w:t>
      </w:r>
      <w:r w:rsidR="0057441C" w:rsidRPr="00490556">
        <w:rPr>
          <w:rStyle w:val="Kiemels2"/>
          <w:rFonts w:ascii="Garamond" w:hAnsi="Garamond"/>
          <w:sz w:val="22"/>
          <w:szCs w:val="22"/>
          <w:lang w:val="hu-HU"/>
        </w:rPr>
        <w:t>lbírálás alapelvei</w:t>
      </w:r>
    </w:p>
    <w:p w:rsidR="00F26D25" w:rsidRPr="00490556" w:rsidRDefault="00F26D25" w:rsidP="004B0599">
      <w:pPr>
        <w:spacing w:line="276" w:lineRule="auto"/>
        <w:jc w:val="both"/>
        <w:rPr>
          <w:rFonts w:ascii="Garamond" w:eastAsia="Garamond" w:hAnsi="Garamond" w:cs="Garamond"/>
          <w:sz w:val="22"/>
          <w:szCs w:val="22"/>
          <w:lang w:val="hu-HU"/>
        </w:rPr>
      </w:pPr>
      <w:r w:rsidRPr="00490556">
        <w:rPr>
          <w:rFonts w:ascii="Garamond" w:eastAsia="Garamond" w:hAnsi="Garamond" w:cs="Garamond"/>
          <w:sz w:val="22"/>
          <w:szCs w:val="22"/>
          <w:lang w:val="hu-HU"/>
        </w:rPr>
        <w:t>A pályázat elbírálását a VIK HK saját hatáskörben végzi, a VIK oktatóiból álló 4 fős bizottság véleményének figyelembe vételével, a jelen pályázatban meghatározott pontrendszer alapján.</w:t>
      </w:r>
    </w:p>
    <w:p w:rsidR="00F26D25" w:rsidRPr="00490556" w:rsidRDefault="00F26D25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A VIK HK az egyes pályázatokat kategóriákba sorolja pontszám alapján csökkenő sorrendben, melyből az „A” kategóriába kerülnek a legmagasabb pontszámot elérő hallgatók. </w:t>
      </w:r>
    </w:p>
    <w:p w:rsidR="004B0599" w:rsidRPr="00490556" w:rsidRDefault="004B0599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Általános elvek</w:t>
      </w:r>
    </w:p>
    <w:p w:rsidR="00490556" w:rsidRPr="00490556" w:rsidRDefault="0057441C" w:rsidP="007C24A6">
      <w:pPr>
        <w:pStyle w:val="Szvegtrzs"/>
        <w:numPr>
          <w:ilvl w:val="1"/>
          <w:numId w:val="9"/>
        </w:numPr>
        <w:spacing w:after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Minden tevékenység esetében kizárólag az értékelt időszakban végzett munka számít.</w:t>
      </w:r>
    </w:p>
    <w:p w:rsidR="00490556" w:rsidRPr="007C24A6" w:rsidRDefault="0057441C" w:rsidP="00B13D01">
      <w:pPr>
        <w:pStyle w:val="Szvegtrzs"/>
        <w:numPr>
          <w:ilvl w:val="1"/>
          <w:numId w:val="9"/>
        </w:numPr>
        <w:spacing w:after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7C24A6">
        <w:rPr>
          <w:rFonts w:ascii="Garamond" w:hAnsi="Garamond"/>
          <w:sz w:val="22"/>
          <w:szCs w:val="22"/>
          <w:lang w:val="hu-HU"/>
        </w:rPr>
        <w:t xml:space="preserve">Amennyiben a teljesítés (publikáció esetén az elfogadás) dátuma nem a vizsgált időszakba esik, nem vehető figyelembe a tevékenység. Egy publikáció csak egyszer kaphat pontot, akkor is, ha konferenciaelőadás is kapcsolódik az elfogadott cikkhez. Egy publikációval csak egy félévben lehet pályázni, abban az időszakban, amikor a publikáció elfogadásra került. </w:t>
      </w:r>
    </w:p>
    <w:p w:rsidR="00490556" w:rsidRPr="00490556" w:rsidRDefault="0057441C" w:rsidP="007C24A6">
      <w:pPr>
        <w:pStyle w:val="Szvegtrzs"/>
        <w:numPr>
          <w:ilvl w:val="1"/>
          <w:numId w:val="9"/>
        </w:numPr>
        <w:spacing w:after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Nem jár pont azokért a konferenciaelőadásokért, ahol az előadáshoz kapcsolódó publikációra a hallgató az előző félévben már kapott pontot. Ha a hallgató ennek ellenére bead egy ilyen előadást is a pályázatába, akkor az a pályázatból való kizárással jár.</w:t>
      </w:r>
      <w:r w:rsidR="00FB5462" w:rsidRPr="00490556">
        <w:rPr>
          <w:rFonts w:ascii="Garamond" w:hAnsi="Garamond"/>
          <w:sz w:val="22"/>
          <w:szCs w:val="22"/>
          <w:lang w:val="hu-HU"/>
        </w:rPr>
        <w:t xml:space="preserve"> </w:t>
      </w:r>
    </w:p>
    <w:p w:rsidR="00FB5462" w:rsidRPr="00490556" w:rsidRDefault="00FB5462" w:rsidP="007C24A6">
      <w:pPr>
        <w:pStyle w:val="Szvegtrzs"/>
        <w:numPr>
          <w:ilvl w:val="1"/>
          <w:numId w:val="9"/>
        </w:numPr>
        <w:spacing w:after="0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Társszerzős cikkek esetében a pályázó megnevezhet összesen, a publikációk számától függetlenül egyetlen oktatót (konzulenst), akit a számításnál figyelmen kívül hagyhat. Ezt a szerzőt nem figyelembe véve a számítás módja: 2-3 szerző: 70%, 4 vagy több szerző: 50%. A társszerzői arányok egyedi nyilatkozatokkal nem módosíthatók.</w:t>
      </w:r>
    </w:p>
    <w:p w:rsidR="00490556" w:rsidRPr="00490556" w:rsidRDefault="00FB5462" w:rsidP="007C24A6">
      <w:pPr>
        <w:pStyle w:val="Szvegtrzs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7C24A6">
        <w:rPr>
          <w:rFonts w:ascii="Garamond" w:hAnsi="Garamond"/>
          <w:sz w:val="22"/>
          <w:szCs w:val="22"/>
          <w:lang w:val="hu-HU"/>
        </w:rPr>
        <w:t>Ugyanannak a munkának a többszöri publikációja (pl. más nyelven, újabb előadásként vagy poszterként más konferencián) csak csökkentett ponttal számít.</w:t>
      </w:r>
    </w:p>
    <w:p w:rsidR="00DA734C" w:rsidRDefault="0057441C" w:rsidP="007C24A6">
      <w:pPr>
        <w:pStyle w:val="Szvegtrzs"/>
        <w:numPr>
          <w:ilvl w:val="1"/>
          <w:numId w:val="9"/>
        </w:numPr>
        <w:spacing w:after="0" w:line="276" w:lineRule="auto"/>
        <w:ind w:left="567" w:hanging="283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Nyelvi teljesítmény csak akkor ér pontot, ha a pályázó a képzésében a nyelvi </w:t>
      </w:r>
      <w:proofErr w:type="gramStart"/>
      <w:r w:rsidRPr="00490556">
        <w:rPr>
          <w:rFonts w:ascii="Garamond" w:hAnsi="Garamond"/>
          <w:sz w:val="22"/>
          <w:szCs w:val="22"/>
          <w:lang w:val="hu-HU"/>
        </w:rPr>
        <w:t>kritériumot</w:t>
      </w:r>
      <w:proofErr w:type="gramEnd"/>
      <w:r w:rsidRPr="00490556">
        <w:rPr>
          <w:rFonts w:ascii="Garamond" w:hAnsi="Garamond"/>
          <w:sz w:val="22"/>
          <w:szCs w:val="22"/>
          <w:lang w:val="hu-HU"/>
        </w:rPr>
        <w:t xml:space="preserve"> a figyelembe vett teljesítmény nélkül is telj</w:t>
      </w:r>
      <w:r w:rsidR="00B139F9">
        <w:rPr>
          <w:rFonts w:ascii="Garamond" w:hAnsi="Garamond"/>
          <w:sz w:val="22"/>
          <w:szCs w:val="22"/>
          <w:lang w:val="hu-HU"/>
        </w:rPr>
        <w:t>esíti, és nyelvvizsgáját 2018. február 1. és 2018. augusztus 31</w:t>
      </w:r>
      <w:bookmarkStart w:id="0" w:name="_GoBack"/>
      <w:bookmarkEnd w:id="0"/>
      <w:r w:rsidRPr="00490556">
        <w:rPr>
          <w:rFonts w:ascii="Garamond" w:hAnsi="Garamond"/>
          <w:sz w:val="22"/>
          <w:szCs w:val="22"/>
          <w:lang w:val="hu-HU"/>
        </w:rPr>
        <w:t>. között tette le, de az összes eddigi megszerzett nyelvvizsgáról benyújtandók a fénymásolatok.</w:t>
      </w:r>
    </w:p>
    <w:p w:rsidR="0057441C" w:rsidRDefault="0057441C" w:rsidP="00DA734C">
      <w:pPr>
        <w:spacing w:after="160" w:line="259" w:lineRule="auto"/>
        <w:rPr>
          <w:rFonts w:ascii="Garamond" w:hAnsi="Garamond"/>
          <w:sz w:val="22"/>
          <w:szCs w:val="22"/>
          <w:lang w:val="hu-HU"/>
        </w:rPr>
      </w:pPr>
    </w:p>
    <w:p w:rsidR="00DA734C" w:rsidRPr="00DA734C" w:rsidRDefault="00DA734C" w:rsidP="00DA734C">
      <w:pPr>
        <w:spacing w:after="160" w:line="259" w:lineRule="auto"/>
        <w:rPr>
          <w:rFonts w:ascii="Garamond" w:eastAsia="Noto Sans CJK SC Regular" w:hAnsi="Garamond" w:cs="FreeSans"/>
          <w:kern w:val="1"/>
          <w:sz w:val="22"/>
          <w:szCs w:val="22"/>
          <w:lang w:val="hu-HU" w:eastAsia="zh-CN" w:bidi="hi-IN"/>
        </w:rPr>
      </w:pPr>
    </w:p>
    <w:p w:rsidR="00435432" w:rsidRPr="00E27922" w:rsidRDefault="00435432" w:rsidP="00435432">
      <w:pPr>
        <w:pStyle w:val="Szvegtrzs"/>
        <w:spacing w:after="0" w:line="276" w:lineRule="auto"/>
        <w:jc w:val="both"/>
        <w:rPr>
          <w:rStyle w:val="Kiemels2"/>
          <w:rFonts w:ascii="Garamond" w:hAnsi="Garamond"/>
        </w:rPr>
      </w:pPr>
      <w:r w:rsidRPr="00E27922">
        <w:rPr>
          <w:rStyle w:val="Kiemels2"/>
          <w:rFonts w:ascii="Garamond" w:hAnsi="Garamond"/>
        </w:rPr>
        <w:lastRenderedPageBreak/>
        <w:t xml:space="preserve">Etikai </w:t>
      </w:r>
      <w:r w:rsidRPr="00E27922">
        <w:rPr>
          <w:rStyle w:val="Kiemels2"/>
          <w:rFonts w:ascii="Garamond" w:hAnsi="Garamond"/>
          <w:sz w:val="22"/>
          <w:szCs w:val="22"/>
        </w:rPr>
        <w:t>irányelvek</w:t>
      </w:r>
    </w:p>
    <w:p w:rsidR="00435432" w:rsidRDefault="00435432" w:rsidP="00435432">
      <w:pPr>
        <w:pStyle w:val="m772783315710601818msoplaintext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 w:cs="Arial"/>
        </w:rPr>
      </w:pPr>
      <w:r w:rsidRPr="00FF2299">
        <w:rPr>
          <w:rFonts w:ascii="Garamond" w:hAnsi="Garamond" w:cs="Arial"/>
          <w:iCs/>
        </w:rPr>
        <w:t>A pályázó köteles a BME Etikai kódexében foglaltakat és a tudományterület bevett tudományetikai irányelveit betartani. Nem helyes gyakorlat például jelentős hozzájárulást adó személy kihagyása a szerzők közül vagy konkrét kutatási eredmény különböző önálló publikációkban való szerepeltetése pusztán azért, hogy a kutató cikkeinek száma gyarapodjon. További részletes elveket lásd például a BME Etikai kódex 6.2.7 fejezetében vagy az MTA Tudományetikai kódexének 4. fejezetében</w:t>
      </w:r>
      <w:r>
        <w:rPr>
          <w:rFonts w:ascii="Garamond" w:hAnsi="Garamond" w:cs="Arial"/>
          <w:iCs/>
        </w:rPr>
        <w:t xml:space="preserve"> és 5.2.4</w:t>
      </w:r>
      <w:r w:rsidRPr="00FF2299">
        <w:rPr>
          <w:rFonts w:ascii="Garamond" w:hAnsi="Garamond" w:cs="Arial"/>
          <w:iCs/>
        </w:rPr>
        <w:t>.</w:t>
      </w:r>
      <w:r>
        <w:rPr>
          <w:rFonts w:ascii="Garamond" w:hAnsi="Garamond" w:cs="Arial"/>
          <w:iCs/>
        </w:rPr>
        <w:t xml:space="preserve"> pontjában.</w:t>
      </w:r>
    </w:p>
    <w:p w:rsidR="00435432" w:rsidRPr="00490556" w:rsidRDefault="00435432" w:rsidP="00435432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4B0599" w:rsidRPr="00490556" w:rsidRDefault="004B0599" w:rsidP="004B0599">
      <w:pPr>
        <w:pStyle w:val="Szvegtrzs"/>
        <w:spacing w:after="0" w:line="276" w:lineRule="auto"/>
        <w:jc w:val="both"/>
        <w:rPr>
          <w:rStyle w:val="Kiemels2"/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Style w:val="Kiemels2"/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Pontrendszer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8"/>
        <w:gridCol w:w="1744"/>
        <w:gridCol w:w="2977"/>
      </w:tblGrid>
      <w:tr w:rsidR="00F26D25" w:rsidRPr="00490556" w:rsidTr="007C24A6">
        <w:trPr>
          <w:trHeight w:hRule="exact" w:val="510"/>
          <w:tblHeader/>
          <w:jc w:val="center"/>
        </w:trPr>
        <w:tc>
          <w:tcPr>
            <w:tcW w:w="5382" w:type="dxa"/>
            <w:gridSpan w:val="2"/>
            <w:shd w:val="clear" w:color="auto" w:fill="auto"/>
            <w:noWrap/>
            <w:vAlign w:val="center"/>
            <w:hideMark/>
          </w:tcPr>
          <w:p w:rsidR="00F26D25" w:rsidRPr="00490556" w:rsidRDefault="00F26D25" w:rsidP="004B0599">
            <w:pPr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  <w:lang w:val="hu-HU"/>
              </w:rPr>
              <w:t>Tevékenység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26D25" w:rsidRPr="00490556" w:rsidRDefault="00F26D25" w:rsidP="004B0599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b/>
                <w:bCs/>
                <w:color w:val="000000"/>
                <w:sz w:val="22"/>
                <w:szCs w:val="22"/>
                <w:lang w:val="hu-HU"/>
              </w:rPr>
              <w:t>Pontszám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:rsidR="00F26D25" w:rsidRPr="007C24A6" w:rsidRDefault="00F26D25" w:rsidP="00A726A8">
            <w:pPr>
              <w:pStyle w:val="Listaszerbekezds"/>
              <w:numPr>
                <w:ilvl w:val="0"/>
                <w:numId w:val="17"/>
              </w:numPr>
              <w:spacing w:after="0" w:line="276" w:lineRule="auto"/>
              <w:ind w:hanging="369"/>
              <w:rPr>
                <w:rFonts w:ascii="Garamond" w:hAnsi="Garamond"/>
                <w:b/>
                <w:bCs/>
                <w:color w:val="000000"/>
              </w:rPr>
            </w:pPr>
            <w:r w:rsidRPr="007C24A6">
              <w:rPr>
                <w:rFonts w:ascii="Garamond" w:eastAsia="Garamond" w:hAnsi="Garamond" w:cs="Garamond"/>
                <w:b/>
                <w:bCs/>
                <w:color w:val="000000"/>
              </w:rPr>
              <w:t>Tanulmányi eredmény</w:t>
            </w:r>
            <w:r w:rsidR="004B0599" w:rsidRPr="00490556"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 </w:t>
            </w:r>
            <w:r w:rsidR="004B0599" w:rsidRPr="00490556">
              <w:rPr>
                <w:rStyle w:val="Kiemels2"/>
                <w:rFonts w:ascii="Garamond" w:hAnsi="Garamond"/>
              </w:rPr>
              <w:t>(</w:t>
            </w:r>
            <w:proofErr w:type="spellStart"/>
            <w:r w:rsidR="00E04EC1" w:rsidRPr="00490556">
              <w:rPr>
                <w:rStyle w:val="Kiemels2"/>
                <w:rFonts w:ascii="Garamond" w:hAnsi="Garamond"/>
              </w:rPr>
              <w:t>max</w:t>
            </w:r>
            <w:proofErr w:type="spellEnd"/>
            <w:r w:rsidR="00E04EC1" w:rsidRPr="00490556">
              <w:rPr>
                <w:rStyle w:val="Kiemels2"/>
                <w:rFonts w:ascii="Garamond" w:hAnsi="Garamond"/>
              </w:rPr>
              <w:t>.</w:t>
            </w:r>
            <w:r w:rsidR="004B0599" w:rsidRPr="00490556">
              <w:rPr>
                <w:rStyle w:val="Kiemels2"/>
                <w:rFonts w:ascii="Garamond" w:hAnsi="Garamond"/>
              </w:rPr>
              <w:t xml:space="preserve"> 25 pont)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  <w:hideMark/>
          </w:tcPr>
          <w:p w:rsidR="00F26D25" w:rsidRPr="007C24A6" w:rsidRDefault="00F26D25" w:rsidP="007C24A6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b/>
                <w:color w:val="000000"/>
              </w:rPr>
            </w:pPr>
            <w:r w:rsidRPr="007C24A6">
              <w:rPr>
                <w:rFonts w:ascii="Garamond" w:eastAsia="Times New Roman" w:hAnsi="Garamond"/>
                <w:b/>
                <w:color w:val="000000"/>
              </w:rPr>
              <w:t>Súlyozott tanulmányi átlag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26D25" w:rsidRPr="007C24A6" w:rsidRDefault="00F26D25" w:rsidP="004B0599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hu-HU"/>
              </w:rPr>
            </w:pPr>
            <w:r w:rsidRPr="007C24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hu-HU"/>
              </w:rPr>
              <w:t>Pontszám (</w:t>
            </w:r>
            <w:proofErr w:type="spellStart"/>
            <w:r w:rsidRPr="007C24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hu-HU"/>
              </w:rPr>
              <w:t>BSc</w:t>
            </w:r>
            <w:proofErr w:type="spellEnd"/>
            <w:r w:rsidRPr="007C24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26D25" w:rsidRPr="007C24A6" w:rsidRDefault="00F26D25" w:rsidP="007C24A6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hu-HU"/>
              </w:rPr>
            </w:pPr>
            <w:r w:rsidRPr="007C24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hu-HU"/>
              </w:rPr>
              <w:t>Pontszám (</w:t>
            </w:r>
            <w:proofErr w:type="spellStart"/>
            <w:r w:rsidRPr="007C24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hu-HU"/>
              </w:rPr>
              <w:t>MSc</w:t>
            </w:r>
            <w:proofErr w:type="spellEnd"/>
            <w:r w:rsidRPr="007C24A6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hu-HU"/>
              </w:rPr>
              <w:t>)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3,50–3,79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-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3,80–3,99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-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4,00–4,19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0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4,20–4,39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4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4,40–4,59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9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4,60–4,79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14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F26D25" w:rsidRPr="00490556" w:rsidRDefault="00F26D25" w:rsidP="004B0599">
            <w:pPr>
              <w:pStyle w:val="Listaszerbekezds"/>
              <w:spacing w:after="0" w:line="276" w:lineRule="auto"/>
              <w:ind w:left="67"/>
              <w:rPr>
                <w:rFonts w:ascii="Garamond" w:eastAsia="Times New Roman" w:hAnsi="Garamond"/>
                <w:color w:val="000000"/>
              </w:rPr>
            </w:pPr>
            <w:r w:rsidRPr="00490556">
              <w:rPr>
                <w:rFonts w:ascii="Garamond" w:hAnsi="Garamond"/>
              </w:rPr>
              <w:t>4,80–5,00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26D25" w:rsidRPr="00490556" w:rsidRDefault="00F26D25" w:rsidP="007C24A6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20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8359" w:type="dxa"/>
            <w:gridSpan w:val="3"/>
            <w:shd w:val="clear" w:color="auto" w:fill="auto"/>
            <w:vAlign w:val="center"/>
            <w:hideMark/>
          </w:tcPr>
          <w:p w:rsidR="004B0599" w:rsidRPr="007C24A6" w:rsidRDefault="004B0599" w:rsidP="00A726A8">
            <w:pPr>
              <w:pStyle w:val="Listaszerbekezds"/>
              <w:numPr>
                <w:ilvl w:val="0"/>
                <w:numId w:val="21"/>
              </w:numPr>
              <w:spacing w:after="0" w:line="276" w:lineRule="auto"/>
              <w:rPr>
                <w:rFonts w:ascii="Garamond" w:hAnsi="Garamond"/>
                <w:b/>
                <w:bCs/>
                <w:color w:val="000000"/>
              </w:rPr>
            </w:pPr>
            <w:r w:rsidRPr="007C24A6">
              <w:rPr>
                <w:rFonts w:ascii="Garamond" w:eastAsia="Garamond" w:hAnsi="Garamond" w:cs="Garamond"/>
                <w:b/>
                <w:bCs/>
                <w:color w:val="000000"/>
              </w:rPr>
              <w:t>Nyelvvizsga</w:t>
            </w:r>
            <w:r w:rsidRPr="00490556">
              <w:rPr>
                <w:rStyle w:val="Lbjegyzet-hivatkozs"/>
                <w:rFonts w:ascii="Garamond" w:eastAsia="Garamond" w:hAnsi="Garamond" w:cs="Garamond"/>
                <w:b/>
                <w:bCs/>
                <w:color w:val="000000"/>
              </w:rPr>
              <w:footnoteReference w:id="1"/>
            </w:r>
            <w:r w:rsidRPr="00490556"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 </w:t>
            </w:r>
            <w:r w:rsidRPr="00490556">
              <w:rPr>
                <w:rStyle w:val="Kiemels2"/>
                <w:rFonts w:ascii="Garamond" w:hAnsi="Garamond"/>
              </w:rPr>
              <w:t>(</w:t>
            </w:r>
            <w:proofErr w:type="spellStart"/>
            <w:r w:rsidR="00E04EC1" w:rsidRPr="00490556">
              <w:rPr>
                <w:rStyle w:val="Kiemels2"/>
                <w:rFonts w:ascii="Garamond" w:hAnsi="Garamond"/>
              </w:rPr>
              <w:t>max</w:t>
            </w:r>
            <w:proofErr w:type="spellEnd"/>
            <w:r w:rsidR="00E04EC1" w:rsidRPr="00490556">
              <w:rPr>
                <w:rStyle w:val="Kiemels2"/>
                <w:rFonts w:ascii="Garamond" w:hAnsi="Garamond"/>
              </w:rPr>
              <w:t>.</w:t>
            </w:r>
            <w:r w:rsidRPr="00490556">
              <w:rPr>
                <w:rStyle w:val="Kiemels2"/>
                <w:rFonts w:ascii="Garamond" w:hAnsi="Garamond"/>
              </w:rPr>
              <w:t xml:space="preserve"> 12 pont)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4B0599" w:rsidRPr="00490556" w:rsidRDefault="00B139F9" w:rsidP="007C24A6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hyperlink r:id="rId8" w:anchor="RANGE!#HIV!" w:history="1">
              <w:r w:rsidR="004B0599" w:rsidRPr="00490556">
                <w:rPr>
                  <w:rFonts w:ascii="Garamond" w:hAnsi="Garamond"/>
                  <w:color w:val="000000"/>
                  <w:sz w:val="22"/>
                  <w:szCs w:val="22"/>
                  <w:lang w:val="hu-HU"/>
                </w:rPr>
                <w:t xml:space="preserve">2.1. </w:t>
              </w:r>
              <w:r w:rsidR="004B0599" w:rsidRPr="00490556">
                <w:rPr>
                  <w:rFonts w:ascii="Garamond" w:hAnsi="Garamond"/>
                  <w:sz w:val="22"/>
                  <w:szCs w:val="22"/>
                  <w:lang w:val="hu-HU"/>
                </w:rPr>
                <w:t>B2 (középfok)</w:t>
              </w:r>
            </w:hyperlink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4B0599" w:rsidRPr="00490556" w:rsidRDefault="004B0599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szóbeli/írásbeli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B0599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4B0599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2 pont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4B0599" w:rsidRPr="00490556" w:rsidRDefault="004B0599" w:rsidP="004B0599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4B0599" w:rsidRPr="00490556" w:rsidRDefault="004B0599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komplex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B0599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4B0599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4 pont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4B0599" w:rsidRPr="00490556" w:rsidRDefault="004B0599" w:rsidP="007C24A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hu-HU"/>
              </w:rPr>
              <w:t xml:space="preserve">2.2. </w:t>
            </w: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C1 (felsőfok)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4B0599" w:rsidRPr="00490556" w:rsidRDefault="004B0599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szóbeli/írásbeli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B0599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4B0599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4 pont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4B0599" w:rsidRPr="00490556" w:rsidRDefault="004B0599" w:rsidP="004B0599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4B0599" w:rsidRPr="00490556" w:rsidRDefault="004B0599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komplex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B0599" w:rsidRPr="00490556" w:rsidRDefault="00E04EC1" w:rsidP="007C24A6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4B0599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8 pont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4B0599" w:rsidRPr="00490556" w:rsidRDefault="004B0599" w:rsidP="007C24A6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2.3. Szakmai szintű (szaknyelvi) nyelvvizsga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B0599" w:rsidRPr="00490556" w:rsidRDefault="004B0599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0599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proofErr w:type="gram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.</w:t>
            </w:r>
            <w:r w:rsidR="004B0599" w:rsidRPr="00490556">
              <w:rPr>
                <w:rFonts w:ascii="Garamond" w:hAnsi="Garamond"/>
                <w:sz w:val="22"/>
                <w:szCs w:val="22"/>
                <w:lang w:val="hu-HU"/>
              </w:rPr>
              <w:t>.</w:t>
            </w:r>
            <w:proofErr w:type="gramEnd"/>
            <w:r w:rsidR="004B0599"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 +4 pont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:rsidR="00F26D25" w:rsidRPr="007C24A6" w:rsidRDefault="00F26D25" w:rsidP="00A726A8">
            <w:pPr>
              <w:pStyle w:val="Listaszerbekezds"/>
              <w:numPr>
                <w:ilvl w:val="0"/>
                <w:numId w:val="21"/>
              </w:numPr>
              <w:spacing w:after="0" w:line="276" w:lineRule="auto"/>
              <w:rPr>
                <w:rFonts w:ascii="Garamond" w:hAnsi="Garamond"/>
                <w:b/>
                <w:bCs/>
                <w:color w:val="000000"/>
              </w:rPr>
            </w:pPr>
            <w:r w:rsidRPr="007C24A6">
              <w:rPr>
                <w:rFonts w:ascii="Garamond" w:eastAsia="Garamond" w:hAnsi="Garamond" w:cs="Garamond"/>
                <w:b/>
                <w:bCs/>
                <w:color w:val="000000"/>
              </w:rPr>
              <w:t>Szakmai tevékenység</w:t>
            </w:r>
            <w:r w:rsidR="004B0599" w:rsidRPr="00490556">
              <w:rPr>
                <w:rFonts w:ascii="Garamond" w:eastAsia="Garamond" w:hAnsi="Garamond" w:cs="Garamond"/>
                <w:b/>
                <w:bCs/>
                <w:color w:val="000000"/>
              </w:rPr>
              <w:t xml:space="preserve"> </w:t>
            </w:r>
            <w:r w:rsidR="004B0599" w:rsidRPr="00490556">
              <w:rPr>
                <w:rStyle w:val="Kiemels2"/>
                <w:rFonts w:ascii="Garamond" w:hAnsi="Garamond"/>
              </w:rPr>
              <w:t>(</w:t>
            </w:r>
            <w:proofErr w:type="spellStart"/>
            <w:r w:rsidR="00E04EC1" w:rsidRPr="00490556">
              <w:rPr>
                <w:rStyle w:val="Kiemels2"/>
                <w:rFonts w:ascii="Garamond" w:hAnsi="Garamond"/>
              </w:rPr>
              <w:t>max</w:t>
            </w:r>
            <w:proofErr w:type="spellEnd"/>
            <w:r w:rsidR="004B0599" w:rsidRPr="00490556">
              <w:rPr>
                <w:rStyle w:val="Kiemels2"/>
                <w:rFonts w:ascii="Garamond" w:hAnsi="Garamond"/>
              </w:rPr>
              <w:t>. 115 pont)</w:t>
            </w:r>
          </w:p>
        </w:tc>
      </w:tr>
      <w:tr w:rsidR="004B0599" w:rsidRPr="00490556" w:rsidTr="007C24A6">
        <w:trPr>
          <w:trHeight w:hRule="exact" w:val="510"/>
          <w:jc w:val="center"/>
        </w:trPr>
        <w:tc>
          <w:tcPr>
            <w:tcW w:w="8359" w:type="dxa"/>
            <w:gridSpan w:val="3"/>
            <w:shd w:val="clear" w:color="auto" w:fill="auto"/>
            <w:noWrap/>
            <w:vAlign w:val="center"/>
          </w:tcPr>
          <w:p w:rsidR="004B0599" w:rsidRPr="007C24A6" w:rsidRDefault="004B0599" w:rsidP="00A726A8">
            <w:pPr>
              <w:pStyle w:val="Szvegtrzs"/>
              <w:spacing w:after="0" w:line="276" w:lineRule="auto"/>
              <w:jc w:val="both"/>
              <w:rPr>
                <w:rFonts w:ascii="Garamond" w:hAnsi="Garamond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 Tanulmányi versenyek (</w:t>
            </w:r>
            <w:proofErr w:type="spellStart"/>
            <w:r w:rsidR="00E04EC1"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. 20 pont) 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FB5462" w:rsidRPr="007C24A6" w:rsidRDefault="00FB5462" w:rsidP="007C24A6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  <w:r w:rsidRPr="00490556">
              <w:rPr>
                <w:rFonts w:ascii="Garamond" w:hAnsi="Garamond"/>
              </w:rPr>
              <w:t>Kari/tanszéki tanulmányi verseny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6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shd w:val="clear" w:color="auto" w:fill="auto"/>
            <w:vAlign w:val="center"/>
          </w:tcPr>
          <w:p w:rsidR="00FB5462" w:rsidRPr="00490556" w:rsidRDefault="00FB5462" w:rsidP="00FB5462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4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shd w:val="clear" w:color="auto" w:fill="auto"/>
            <w:vAlign w:val="center"/>
          </w:tcPr>
          <w:p w:rsidR="00FB5462" w:rsidRPr="00490556" w:rsidRDefault="00FB5462" w:rsidP="00FB5462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2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Különdíj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FB5462" w:rsidRPr="007C24A6" w:rsidRDefault="00FB5462" w:rsidP="007C24A6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  <w:r w:rsidRPr="00490556">
              <w:rPr>
                <w:rFonts w:ascii="Garamond" w:hAnsi="Garamond"/>
              </w:rPr>
              <w:t>Egyetemi/regionális/országos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10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shd w:val="clear" w:color="auto" w:fill="auto"/>
            <w:vAlign w:val="center"/>
          </w:tcPr>
          <w:p w:rsidR="00FB5462" w:rsidRPr="00490556" w:rsidRDefault="00FB5462" w:rsidP="00FB5462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8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6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Különdíj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FB5462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3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FB5462" w:rsidRPr="00490556" w:rsidRDefault="00FB5462" w:rsidP="00102664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  <w:r w:rsidRPr="00490556">
              <w:rPr>
                <w:rFonts w:ascii="Garamond" w:hAnsi="Garamond"/>
              </w:rPr>
              <w:t>Nemzetközi tanulmányi verseny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20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shd w:val="clear" w:color="auto" w:fill="auto"/>
            <w:vAlign w:val="center"/>
          </w:tcPr>
          <w:p w:rsidR="00FB5462" w:rsidRPr="00490556" w:rsidRDefault="00FB5462" w:rsidP="00102664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16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12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Különdíj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6 pont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F26D25" w:rsidRPr="007C24A6" w:rsidRDefault="00FB5462" w:rsidP="00677026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rPr>
                <w:rFonts w:ascii="Garamond" w:hAnsi="Garamond"/>
                <w:color w:val="000000"/>
              </w:rPr>
            </w:pPr>
            <w:r w:rsidRPr="00490556">
              <w:rPr>
                <w:rFonts w:ascii="Garamond" w:hAnsi="Garamond"/>
                <w:color w:val="000000"/>
              </w:rPr>
              <w:t>Publikáció/előadás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26D25" w:rsidRPr="00490556" w:rsidRDefault="00F26D25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magyar nyelven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26D25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8 pont</w:t>
            </w:r>
          </w:p>
        </w:tc>
      </w:tr>
      <w:tr w:rsidR="00F26D25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26D25" w:rsidRPr="00490556" w:rsidRDefault="00F26D25" w:rsidP="004B0599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26D25" w:rsidRPr="00490556" w:rsidRDefault="00F26D25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idegen nyelven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26D25" w:rsidRPr="007C24A6" w:rsidRDefault="00E04EC1" w:rsidP="007C24A6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 xml:space="preserve"> 15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FB5462" w:rsidRPr="00490556" w:rsidRDefault="00FB5462" w:rsidP="00677026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rPr>
                <w:rFonts w:ascii="Garamond" w:hAnsi="Garamond"/>
                <w:color w:val="000000"/>
              </w:rPr>
            </w:pPr>
            <w:r w:rsidRPr="00490556">
              <w:rPr>
                <w:rFonts w:ascii="Garamond" w:hAnsi="Garamond"/>
                <w:color w:val="000000"/>
              </w:rPr>
              <w:t>VIK-en szerzett TDK, illetve OTDK (dolgozatonként)</w:t>
            </w:r>
            <w:r w:rsidRPr="00490556">
              <w:rPr>
                <w:rFonts w:ascii="Garamond" w:hAnsi="Garamond"/>
                <w:color w:val="000000"/>
              </w:rPr>
              <w:br/>
              <w:t>(</w:t>
            </w:r>
            <w:proofErr w:type="spellStart"/>
            <w:r w:rsidR="00E04EC1" w:rsidRPr="00490556">
              <w:rPr>
                <w:rFonts w:ascii="Garamond" w:hAnsi="Garamond"/>
                <w:color w:val="000000"/>
              </w:rPr>
              <w:t>max</w:t>
            </w:r>
            <w:proofErr w:type="spellEnd"/>
            <w:r w:rsidR="00E04EC1" w:rsidRPr="00490556">
              <w:rPr>
                <w:rFonts w:ascii="Garamond" w:hAnsi="Garamond"/>
                <w:color w:val="000000"/>
              </w:rPr>
              <w:t>.</w:t>
            </w:r>
            <w:r w:rsidRPr="00490556">
              <w:rPr>
                <w:rFonts w:ascii="Garamond" w:hAnsi="Garamond"/>
                <w:color w:val="000000"/>
              </w:rPr>
              <w:t xml:space="preserve"> 30 pont)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15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shd w:val="clear" w:color="auto" w:fill="auto"/>
            <w:vAlign w:val="center"/>
          </w:tcPr>
          <w:p w:rsidR="00FB5462" w:rsidRPr="00490556" w:rsidRDefault="00FB5462" w:rsidP="00102664">
            <w:pPr>
              <w:pStyle w:val="Listaszerbekezds"/>
              <w:numPr>
                <w:ilvl w:val="1"/>
                <w:numId w:val="21"/>
              </w:numPr>
              <w:spacing w:after="0" w:line="276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13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III. hely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11 pont</w:t>
            </w:r>
          </w:p>
        </w:tc>
      </w:tr>
      <w:tr w:rsidR="00FB5462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FB5462" w:rsidRPr="00490556" w:rsidRDefault="00FB5462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Különdíj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5462" w:rsidRPr="00490556" w:rsidRDefault="00E04EC1" w:rsidP="00102664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.</w:t>
            </w:r>
            <w:r w:rsidR="00FB5462"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 xml:space="preserve"> 8 pont</w:t>
            </w:r>
          </w:p>
        </w:tc>
      </w:tr>
      <w:tr w:rsidR="00E04EC1" w:rsidRPr="00490556" w:rsidTr="007C24A6">
        <w:trPr>
          <w:trHeight w:hRule="exact" w:val="510"/>
          <w:jc w:val="center"/>
        </w:trPr>
        <w:tc>
          <w:tcPr>
            <w:tcW w:w="3638" w:type="dxa"/>
            <w:vMerge w:val="restart"/>
            <w:shd w:val="clear" w:color="auto" w:fill="auto"/>
            <w:vAlign w:val="center"/>
            <w:hideMark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>3.6. Demonstrátori tevékenység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 </w:t>
            </w: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tantárgyanként, óratartással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. 8 pont</w:t>
            </w:r>
          </w:p>
        </w:tc>
      </w:tr>
      <w:tr w:rsidR="00E04EC1" w:rsidRPr="00490556" w:rsidTr="007C24A6">
        <w:trPr>
          <w:trHeight w:hRule="exact" w:val="510"/>
          <w:jc w:val="center"/>
        </w:trPr>
        <w:tc>
          <w:tcPr>
            <w:tcW w:w="3638" w:type="dxa"/>
            <w:vMerge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tantárgyanként, óra tartása nélkül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EC1" w:rsidRPr="00490556" w:rsidRDefault="00E04EC1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. 5 pont</w:t>
            </w:r>
          </w:p>
        </w:tc>
      </w:tr>
      <w:tr w:rsidR="00E04EC1" w:rsidRPr="00490556" w:rsidTr="007C24A6">
        <w:trPr>
          <w:trHeight w:hRule="exact" w:val="51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 xml:space="preserve">3.7. </w:t>
            </w: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Tanszéki projektben való részvétel (</w:t>
            </w: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. 10 pont)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. 5 pont projektenként</w:t>
            </w:r>
          </w:p>
        </w:tc>
      </w:tr>
      <w:tr w:rsidR="00E04EC1" w:rsidRPr="00490556" w:rsidTr="007C24A6">
        <w:trPr>
          <w:trHeight w:hRule="exact" w:val="680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 xml:space="preserve">3.8. </w:t>
            </w: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IMSc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 pontok (</w:t>
            </w: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 25 pont)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4EC1" w:rsidRPr="00490556" w:rsidRDefault="00E04EC1" w:rsidP="007C24A6">
            <w:pPr>
              <w:pStyle w:val="Szvegtrzs"/>
              <w:spacing w:after="0"/>
              <w:ind w:left="41"/>
              <w:rPr>
                <w:rFonts w:ascii="Garamond" w:hAnsi="Garamond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KBME_IMSC_pont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 = 25/100 * </w:t>
            </w:r>
            <w:proofErr w:type="gram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min(</w:t>
            </w:r>
            <w:proofErr w:type="gram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 xml:space="preserve">100, </w:t>
            </w: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IMSC_pont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)</w:t>
            </w:r>
          </w:p>
          <w:p w:rsidR="00E04EC1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  <w:lang w:val="hu-HU"/>
              </w:rPr>
            </w:pPr>
          </w:p>
        </w:tc>
      </w:tr>
      <w:tr w:rsidR="00F26D25" w:rsidRPr="00490556" w:rsidTr="007C24A6">
        <w:trPr>
          <w:trHeight w:hRule="exact" w:val="860"/>
          <w:jc w:val="center"/>
        </w:trPr>
        <w:tc>
          <w:tcPr>
            <w:tcW w:w="3638" w:type="dxa"/>
            <w:shd w:val="clear" w:color="auto" w:fill="auto"/>
            <w:vAlign w:val="center"/>
            <w:hideMark/>
          </w:tcPr>
          <w:p w:rsidR="00F26D25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hAnsi="Garamond"/>
                <w:color w:val="000000"/>
                <w:sz w:val="22"/>
                <w:szCs w:val="22"/>
                <w:lang w:val="hu-HU"/>
              </w:rPr>
              <w:t xml:space="preserve">3.9. </w:t>
            </w:r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egyéb szakmai tevékenység (pl. szakkollégiumi aktivitás, szervezői tevékenységet leszámítva)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F26D25" w:rsidRPr="00490556" w:rsidRDefault="00F26D25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r w:rsidRPr="00490556">
              <w:rPr>
                <w:rFonts w:ascii="Garamond" w:eastAsia="Garamond" w:hAnsi="Garamond" w:cs="Garamond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26D25" w:rsidRPr="00490556" w:rsidRDefault="00E04EC1" w:rsidP="004B0599">
            <w:pPr>
              <w:spacing w:line="276" w:lineRule="auto"/>
              <w:jc w:val="both"/>
              <w:rPr>
                <w:rFonts w:ascii="Garamond" w:hAnsi="Garamond"/>
                <w:color w:val="000000"/>
                <w:sz w:val="22"/>
                <w:szCs w:val="22"/>
                <w:lang w:val="hu-HU"/>
              </w:rPr>
            </w:pPr>
            <w:proofErr w:type="spellStart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90556">
              <w:rPr>
                <w:rFonts w:ascii="Garamond" w:hAnsi="Garamond"/>
                <w:sz w:val="22"/>
                <w:szCs w:val="22"/>
                <w:lang w:val="hu-HU"/>
              </w:rPr>
              <w:t>. 15 pont</w:t>
            </w:r>
          </w:p>
        </w:tc>
      </w:tr>
    </w:tbl>
    <w:p w:rsidR="00F26D25" w:rsidRPr="00490556" w:rsidRDefault="00F26D25" w:rsidP="004B0599">
      <w:pPr>
        <w:pStyle w:val="Szvegtrzs"/>
        <w:spacing w:after="0" w:line="276" w:lineRule="auto"/>
        <w:ind w:left="113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A pályázás folyamata</w:t>
      </w:r>
    </w:p>
    <w:p w:rsidR="00E27922" w:rsidRPr="00E343FD" w:rsidRDefault="00E27922" w:rsidP="00E27922">
      <w:pPr>
        <w:spacing w:line="276" w:lineRule="auto"/>
        <w:jc w:val="both"/>
        <w:rPr>
          <w:rFonts w:ascii="Garamond" w:eastAsia="Garamond" w:hAnsi="Garamond"/>
          <w:sz w:val="22"/>
          <w:szCs w:val="22"/>
        </w:rPr>
      </w:pPr>
      <w:proofErr w:type="spellStart"/>
      <w:r w:rsidRPr="00E343FD">
        <w:rPr>
          <w:rFonts w:ascii="Garamond" w:eastAsia="Garamond" w:hAnsi="Garamond"/>
          <w:sz w:val="22"/>
          <w:szCs w:val="22"/>
        </w:rPr>
        <w:t>Pályázni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a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pályázati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adatlap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elektronikusan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kitöltött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,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majd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kinyomtatott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és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aláírt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példányának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leadásával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,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valamint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a </w:t>
      </w:r>
      <w:hyperlink r:id="rId9" w:history="1">
        <w:r w:rsidRPr="00E343FD">
          <w:rPr>
            <w:rFonts w:ascii="Garamond" w:eastAsia="Garamond" w:hAnsi="Garamond"/>
            <w:color w:val="0563C1"/>
            <w:sz w:val="22"/>
            <w:szCs w:val="22"/>
            <w:u w:val="single"/>
          </w:rPr>
          <w:t>palyazat@vik.hk</w:t>
        </w:r>
        <w:r w:rsidRPr="00E343FD">
          <w:rPr>
            <w:rFonts w:ascii="Garamond" w:eastAsia="Garamond" w:hAnsi="Garamond"/>
            <w:sz w:val="22"/>
            <w:szCs w:val="22"/>
            <w:u w:val="single"/>
          </w:rPr>
          <w:t xml:space="preserve"> </w:t>
        </w:r>
      </w:hyperlink>
      <w:r w:rsidRPr="00E343FD">
        <w:rPr>
          <w:rFonts w:ascii="Garamond" w:eastAsia="Garamond" w:hAnsi="Garamond"/>
          <w:sz w:val="22"/>
          <w:szCs w:val="22"/>
        </w:rPr>
        <w:t xml:space="preserve">email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címre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való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elküldésével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lehetséges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.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Az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emailben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mellékelni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kell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a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pályázatban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benyújtani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kívánt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</w:t>
      </w:r>
      <w:proofErr w:type="spellStart"/>
      <w:r w:rsidRPr="00E27922">
        <w:rPr>
          <w:rFonts w:ascii="Garamond" w:eastAsia="Garamond" w:hAnsi="Garamond"/>
          <w:b/>
          <w:sz w:val="22"/>
          <w:szCs w:val="22"/>
        </w:rPr>
        <w:t>dokumentumokat</w:t>
      </w:r>
      <w:proofErr w:type="spellEnd"/>
      <w:r w:rsidRPr="00E27922">
        <w:rPr>
          <w:rFonts w:ascii="Garamond" w:eastAsia="Garamond" w:hAnsi="Garamond"/>
          <w:b/>
          <w:sz w:val="22"/>
          <w:szCs w:val="22"/>
        </w:rPr>
        <w:t xml:space="preserve"> is.</w:t>
      </w:r>
      <w:r>
        <w:rPr>
          <w:rFonts w:ascii="Garamond" w:eastAsia="Garamond" w:hAnsi="Garamond"/>
          <w:sz w:val="22"/>
          <w:szCs w:val="22"/>
        </w:rPr>
        <w:t xml:space="preserve"> </w:t>
      </w:r>
      <w:r w:rsidRPr="00E343FD">
        <w:rPr>
          <w:rFonts w:ascii="Garamond" w:eastAsia="Garamond" w:hAnsi="Garamond"/>
          <w:sz w:val="22"/>
          <w:szCs w:val="22"/>
        </w:rPr>
        <w:t xml:space="preserve">A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pályázati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adatlapot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a VIK HK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irodájában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ügyeleti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időben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kell</w:t>
      </w:r>
      <w:proofErr w:type="spellEnd"/>
      <w:r w:rsidRPr="00E343FD">
        <w:rPr>
          <w:rFonts w:ascii="Garamond" w:eastAsia="Garamond" w:hAnsi="Garamond"/>
          <w:sz w:val="22"/>
          <w:szCs w:val="22"/>
        </w:rPr>
        <w:t xml:space="preserve"> </w:t>
      </w:r>
      <w:proofErr w:type="spellStart"/>
      <w:r w:rsidRPr="00E343FD">
        <w:rPr>
          <w:rFonts w:ascii="Garamond" w:eastAsia="Garamond" w:hAnsi="Garamond"/>
          <w:sz w:val="22"/>
          <w:szCs w:val="22"/>
        </w:rPr>
        <w:t>leadni</w:t>
      </w:r>
      <w:proofErr w:type="spellEnd"/>
      <w:r w:rsidRPr="00E343FD">
        <w:rPr>
          <w:rFonts w:ascii="Garamond" w:eastAsia="Garamond" w:hAnsi="Garamond"/>
          <w:sz w:val="22"/>
          <w:szCs w:val="22"/>
        </w:rPr>
        <w:t>.</w:t>
      </w:r>
    </w:p>
    <w:p w:rsidR="00AB0585" w:rsidRPr="00490556" w:rsidRDefault="00AB0585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Style w:val="Kiemels2"/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Tartalmi követelmények és kapcsolódó igazolások</w:t>
      </w:r>
    </w:p>
    <w:p w:rsidR="00AB0585" w:rsidRPr="00490556" w:rsidRDefault="00AB0585" w:rsidP="00AB0585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 pályázati adatlap mintája megtalálható az alábbi linken. A pályázati adatlapnak tartalmaznia kell a pályázó által elvégzett egyéni munka elbírálásra alkalmas részletességű leírását.</w:t>
      </w:r>
    </w:p>
    <w:p w:rsidR="00AB0585" w:rsidRPr="00490556" w:rsidRDefault="00AB0585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A pályázat formai követelményei:</w:t>
      </w:r>
    </w:p>
    <w:p w:rsidR="0057441C" w:rsidRPr="00490556" w:rsidRDefault="0057441C" w:rsidP="004B0599">
      <w:pPr>
        <w:pStyle w:val="Szvegtrzs"/>
        <w:spacing w:after="0" w:line="276" w:lineRule="auto"/>
        <w:ind w:left="707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● </w:t>
      </w:r>
      <w:r w:rsidRPr="00490556">
        <w:rPr>
          <w:rStyle w:val="Kiemels2"/>
          <w:rFonts w:ascii="Garamond" w:hAnsi="Garamond"/>
          <w:sz w:val="22"/>
          <w:szCs w:val="22"/>
          <w:lang w:val="hu-HU"/>
        </w:rPr>
        <w:t>Kinyomtatva leadandó</w:t>
      </w:r>
    </w:p>
    <w:p w:rsidR="0057441C" w:rsidRPr="00490556" w:rsidRDefault="0057441C" w:rsidP="004B0599">
      <w:pPr>
        <w:pStyle w:val="Szvegtrzs"/>
        <w:spacing w:after="0" w:line="276" w:lineRule="auto"/>
        <w:ind w:left="1067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o Pályázati adatlap, amely megtalálható a </w:t>
      </w:r>
      <w:r w:rsidRPr="00490556">
        <w:rPr>
          <w:rStyle w:val="Kiemels2"/>
          <w:rFonts w:ascii="Garamond" w:hAnsi="Garamond"/>
          <w:sz w:val="22"/>
          <w:szCs w:val="22"/>
          <w:u w:val="single"/>
          <w:lang w:val="hu-HU"/>
        </w:rPr>
        <w:t>vik.hk</w:t>
      </w:r>
      <w:r w:rsidRPr="00490556">
        <w:rPr>
          <w:rFonts w:ascii="Garamond" w:hAnsi="Garamond"/>
          <w:sz w:val="22"/>
          <w:szCs w:val="22"/>
          <w:lang w:val="hu-HU"/>
        </w:rPr>
        <w:t> oldalon.</w:t>
      </w:r>
    </w:p>
    <w:p w:rsidR="0057441C" w:rsidRPr="00490556" w:rsidRDefault="0057441C" w:rsidP="004B0599">
      <w:pPr>
        <w:pStyle w:val="Szvegtrzs"/>
        <w:spacing w:after="0" w:line="276" w:lineRule="auto"/>
        <w:ind w:firstLine="708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● </w:t>
      </w:r>
      <w:r w:rsidRPr="00490556">
        <w:rPr>
          <w:rStyle w:val="Kiemels2"/>
          <w:rFonts w:ascii="Garamond" w:hAnsi="Garamond"/>
          <w:sz w:val="22"/>
          <w:szCs w:val="22"/>
          <w:lang w:val="hu-HU"/>
        </w:rPr>
        <w:t>Elektronikusan leadandó</w:t>
      </w:r>
    </w:p>
    <w:p w:rsidR="0057441C" w:rsidRPr="00490556" w:rsidRDefault="0057441C" w:rsidP="004B0599">
      <w:pPr>
        <w:pStyle w:val="Szvegtrzs"/>
        <w:numPr>
          <w:ilvl w:val="1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A helyesen kitöltött pályázati adatlap, publikációs és előadás adatok, demonstrátori munka igazolás és a tanszéki munka igazolása. A </w:t>
      </w:r>
      <w:proofErr w:type="gramStart"/>
      <w:r w:rsidRPr="00490556">
        <w:rPr>
          <w:rFonts w:ascii="Garamond" w:hAnsi="Garamond"/>
          <w:sz w:val="22"/>
          <w:szCs w:val="22"/>
          <w:lang w:val="hu-HU"/>
        </w:rPr>
        <w:t>dokumentumokat</w:t>
      </w:r>
      <w:proofErr w:type="gramEnd"/>
      <w:r w:rsidRPr="00490556">
        <w:rPr>
          <w:rFonts w:ascii="Garamond" w:hAnsi="Garamond"/>
          <w:sz w:val="22"/>
          <w:szCs w:val="22"/>
          <w:lang w:val="hu-HU"/>
        </w:rPr>
        <w:t xml:space="preserve"> az alábbi elnevezési konvencióval kell feltölteni: 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vezeteknev_tipus_azonosito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, ahol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tipus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=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atlag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>/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imsc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/nyelvvizsga/verseny /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publikacio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/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tdk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/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demonstrator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/ projekt /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szakkolegium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, stb., és az </w:t>
      </w:r>
      <w:proofErr w:type="spellStart"/>
      <w:r w:rsidRPr="00490556">
        <w:rPr>
          <w:rFonts w:ascii="Garamond" w:hAnsi="Garamond"/>
          <w:sz w:val="22"/>
          <w:szCs w:val="22"/>
          <w:lang w:val="hu-HU"/>
        </w:rPr>
        <w:t>azonosito</w:t>
      </w:r>
      <w:proofErr w:type="spellEnd"/>
      <w:r w:rsidRPr="00490556">
        <w:rPr>
          <w:rFonts w:ascii="Garamond" w:hAnsi="Garamond"/>
          <w:sz w:val="22"/>
          <w:szCs w:val="22"/>
          <w:lang w:val="hu-HU"/>
        </w:rPr>
        <w:t xml:space="preserve"> valami ésszerű, egyedi azonosító (pl. tárgy vagy konferencia neve). </w:t>
      </w:r>
    </w:p>
    <w:p w:rsidR="0057441C" w:rsidRPr="00490556" w:rsidRDefault="0057441C" w:rsidP="004B0599">
      <w:pPr>
        <w:pStyle w:val="Szvegtrzs"/>
        <w:numPr>
          <w:ilvl w:val="1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 tanulmányi eredményt igazoló dokumentum.</w:t>
      </w:r>
    </w:p>
    <w:p w:rsidR="0057441C" w:rsidRPr="00490556" w:rsidRDefault="0057441C" w:rsidP="004B0599">
      <w:pPr>
        <w:pStyle w:val="Szvegtrzs"/>
        <w:numPr>
          <w:ilvl w:val="1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Az előző féléves szakmai, illetve tudományos tevékenységet leíró szöveges kísérőlevél</w:t>
      </w:r>
      <w:r w:rsidRPr="00490556">
        <w:rPr>
          <w:rFonts w:ascii="Garamond" w:hAnsi="Garamond"/>
          <w:color w:val="CC0000"/>
          <w:sz w:val="22"/>
          <w:szCs w:val="22"/>
          <w:lang w:val="hu-HU"/>
        </w:rPr>
        <w:t xml:space="preserve"> </w:t>
      </w:r>
      <w:r w:rsidRPr="00490556">
        <w:rPr>
          <w:rFonts w:ascii="Garamond" w:hAnsi="Garamond"/>
          <w:sz w:val="22"/>
          <w:szCs w:val="22"/>
          <w:lang w:val="hu-HU"/>
        </w:rPr>
        <w:t>a pályázati kiírásban szereplő és ott pontozott eredmények rövid, áttekinthető felsorolásával. Egyéb, a pályázat szempontjából nem releváns eredményeket nem kell beírni.</w:t>
      </w:r>
    </w:p>
    <w:p w:rsidR="0057441C" w:rsidRPr="00490556" w:rsidRDefault="0057441C" w:rsidP="004B0599">
      <w:pPr>
        <w:pStyle w:val="Szvegtrzs"/>
        <w:numPr>
          <w:ilvl w:val="1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 xml:space="preserve">A publikáció(k) leadásánál szükséges  a cikk internetes elérhetősége, a publikáció teljes szövegének mellékelése, a megjelenés (várható) időpontja, a befogadó hely jellege (bírált/nem bírált teljes cikk vagy </w:t>
      </w:r>
      <w:proofErr w:type="gramStart"/>
      <w:r w:rsidRPr="00490556">
        <w:rPr>
          <w:rFonts w:ascii="Garamond" w:hAnsi="Garamond"/>
          <w:sz w:val="22"/>
          <w:szCs w:val="22"/>
          <w:lang w:val="hu-HU"/>
        </w:rPr>
        <w:t>absztrakt</w:t>
      </w:r>
      <w:proofErr w:type="gramEnd"/>
      <w:r w:rsidRPr="00490556">
        <w:rPr>
          <w:rFonts w:ascii="Garamond" w:hAnsi="Garamond"/>
          <w:sz w:val="22"/>
          <w:szCs w:val="22"/>
          <w:lang w:val="hu-HU"/>
        </w:rPr>
        <w:t>), minősített publikáció esetén a minősítés tényének megjelölése, több szerző esetén a szerzők nevének feltüntetése. Ezen adatok megadásához kötelező a pályázati anyagban található adatlap kitöltése.</w:t>
      </w:r>
    </w:p>
    <w:p w:rsidR="0057441C" w:rsidRPr="00490556" w:rsidRDefault="0057441C" w:rsidP="004B0599">
      <w:pPr>
        <w:pStyle w:val="Szvegtrzs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Konferenciakiadványban megjelent cikk és a hozzá tartozó konferencia-előadás egyetlen publikációnak számít. Új konferenciacikk leadásához új adatlap készítése és a cikk mellékelése szükséges.</w:t>
      </w:r>
    </w:p>
    <w:p w:rsidR="0057441C" w:rsidRPr="00490556" w:rsidRDefault="0057441C" w:rsidP="004B0599">
      <w:pPr>
        <w:pStyle w:val="Szvegtrzs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Tanszéki munka </w:t>
      </w:r>
      <w:r w:rsidRPr="00490556">
        <w:rPr>
          <w:rStyle w:val="Kiemels2"/>
          <w:rFonts w:ascii="Garamond" w:hAnsi="Garamond"/>
          <w:sz w:val="22"/>
          <w:szCs w:val="22"/>
          <w:lang w:val="hu-HU"/>
        </w:rPr>
        <w:t>tanszékvezetői</w:t>
      </w:r>
      <w:r w:rsidRPr="00490556">
        <w:rPr>
          <w:rFonts w:ascii="Garamond" w:hAnsi="Garamond"/>
          <w:sz w:val="22"/>
          <w:szCs w:val="22"/>
          <w:lang w:val="hu-HU"/>
        </w:rPr>
        <w:t> igazolása, részletes kifejtéssel, adatlap formájában, mely a </w:t>
      </w:r>
      <w:r w:rsidRPr="00490556">
        <w:rPr>
          <w:rStyle w:val="Kiemels2"/>
          <w:rFonts w:ascii="Garamond" w:hAnsi="Garamond"/>
          <w:sz w:val="22"/>
          <w:szCs w:val="22"/>
          <w:u w:val="single"/>
          <w:lang w:val="hu-HU"/>
        </w:rPr>
        <w:t>vik.hk</w:t>
      </w:r>
      <w:r w:rsidRPr="00490556">
        <w:rPr>
          <w:rFonts w:ascii="Garamond" w:hAnsi="Garamond"/>
          <w:sz w:val="22"/>
          <w:szCs w:val="22"/>
          <w:lang w:val="hu-HU"/>
        </w:rPr>
        <w:t> oldalon található meg.</w:t>
      </w:r>
    </w:p>
    <w:p w:rsidR="0057441C" w:rsidRPr="00490556" w:rsidRDefault="0057441C" w:rsidP="004B0599">
      <w:pPr>
        <w:pStyle w:val="Szvegtrzs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Külső munka projektvezetőitől igazolás, amely részletes szöveges beszámolót is tartalmaz.</w:t>
      </w:r>
    </w:p>
    <w:p w:rsidR="0057441C" w:rsidRPr="00490556" w:rsidRDefault="0057441C" w:rsidP="004B0599">
      <w:pPr>
        <w:pStyle w:val="Szvegtrzs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Demonstrátori munka </w:t>
      </w:r>
      <w:r w:rsidRPr="00490556">
        <w:rPr>
          <w:rStyle w:val="Kiemels2"/>
          <w:rFonts w:ascii="Garamond" w:hAnsi="Garamond"/>
          <w:sz w:val="22"/>
          <w:szCs w:val="22"/>
          <w:lang w:val="hu-HU"/>
        </w:rPr>
        <w:t>tanszékvezetői</w:t>
      </w:r>
      <w:r w:rsidRPr="00490556">
        <w:rPr>
          <w:rFonts w:ascii="Garamond" w:hAnsi="Garamond"/>
          <w:sz w:val="22"/>
          <w:szCs w:val="22"/>
          <w:lang w:val="hu-HU"/>
        </w:rPr>
        <w:t> igazolása annak kifejtésével, hogy milyen munkát takar (pl. óraadás, gyakorlat/labor előkészítés, zárthelyi javítás, ezek alkalomszáma tantárgyhoz rendelve) adatlap formájában, mely a </w:t>
      </w:r>
      <w:r w:rsidRPr="00490556">
        <w:rPr>
          <w:rStyle w:val="Kiemels2"/>
          <w:rFonts w:ascii="Garamond" w:hAnsi="Garamond"/>
          <w:sz w:val="22"/>
          <w:szCs w:val="22"/>
          <w:u w:val="single"/>
          <w:lang w:val="hu-HU"/>
        </w:rPr>
        <w:t>vik.hk</w:t>
      </w:r>
      <w:r w:rsidRPr="00490556">
        <w:rPr>
          <w:rFonts w:ascii="Garamond" w:hAnsi="Garamond"/>
          <w:sz w:val="22"/>
          <w:szCs w:val="22"/>
          <w:lang w:val="hu-HU"/>
        </w:rPr>
        <w:t> oldalon található meg.</w:t>
      </w:r>
    </w:p>
    <w:p w:rsidR="0057441C" w:rsidRPr="00490556" w:rsidRDefault="0057441C" w:rsidP="004B0599">
      <w:pPr>
        <w:pStyle w:val="Szvegtrzs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Nyelvvizsga bizonyítvány(ok).</w:t>
      </w:r>
    </w:p>
    <w:p w:rsidR="0057441C" w:rsidRPr="00490556" w:rsidRDefault="0057441C" w:rsidP="004B0599">
      <w:pPr>
        <w:pStyle w:val="Szvegtrzs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Egyéb tevékenységek igazolása (pl. szakkollégium szakmai munka, amelybe a konferencia és szakkollégiumi szervezői munka nem számít bele). Csak a szervezet elnöke által hitelesített igazolásokat fogadható el.</w:t>
      </w:r>
    </w:p>
    <w:p w:rsidR="00AB0585" w:rsidRPr="00490556" w:rsidRDefault="00AB0585" w:rsidP="007C24A6">
      <w:pPr>
        <w:pStyle w:val="Szvegtrzs"/>
        <w:spacing w:after="0" w:line="276" w:lineRule="auto"/>
        <w:ind w:left="1067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A pályázaton elnyerhető ösztöndíj</w:t>
      </w:r>
    </w:p>
    <w:p w:rsidR="00AB0585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Az elnyert ösztöndíj nagyságát a beérkezett pályázatok, és a rendelkezésre álló keretösszeg alapján a VIK HK állapítja meg</w:t>
      </w:r>
      <w:r w:rsidR="00AB0585" w:rsidRPr="00490556">
        <w:rPr>
          <w:rFonts w:ascii="Garamond" w:hAnsi="Garamond"/>
          <w:sz w:val="22"/>
          <w:szCs w:val="22"/>
          <w:lang w:val="hu-HU"/>
        </w:rPr>
        <w:t xml:space="preserve"> a pályázatok elbírálása során</w:t>
      </w:r>
      <w:r w:rsidRPr="00490556">
        <w:rPr>
          <w:rFonts w:ascii="Garamond" w:hAnsi="Garamond"/>
          <w:sz w:val="22"/>
          <w:szCs w:val="22"/>
          <w:lang w:val="hu-HU"/>
        </w:rPr>
        <w:t>.</w:t>
      </w:r>
      <w:r w:rsidR="00490556" w:rsidRPr="00490556">
        <w:rPr>
          <w:rFonts w:ascii="Garamond" w:hAnsi="Garamond"/>
          <w:sz w:val="22"/>
          <w:szCs w:val="22"/>
          <w:lang w:val="hu-HU"/>
        </w:rPr>
        <w:t xml:space="preserve"> A VIK HK kategóriánként állapítja meg az elnyerhető ösztöndíj összegét, az azonos kategóriába besorolt hallgatók, azonos mértékű ösztöndíjban részesülnek.</w:t>
      </w: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 juttatások kifizetése 5 havi ösztöndíj formájában történik a hallgatói normatíva terhére folyósított juttatások kifizetési időpontjainak ütemezésében meghatározott időpontban.</w:t>
      </w:r>
    </w:p>
    <w:p w:rsidR="00F83606" w:rsidRDefault="00F83606">
      <w:pPr>
        <w:spacing w:after="160" w:line="259" w:lineRule="auto"/>
        <w:rPr>
          <w:rFonts w:ascii="Garamond" w:eastAsia="Noto Sans CJK SC Regular" w:hAnsi="Garamond" w:cs="FreeSans"/>
          <w:kern w:val="1"/>
          <w:sz w:val="22"/>
          <w:szCs w:val="22"/>
          <w:lang w:val="hu-HU" w:eastAsia="zh-CN" w:bidi="hi-IN"/>
        </w:rPr>
      </w:pPr>
      <w:r>
        <w:rPr>
          <w:rFonts w:ascii="Garamond" w:hAnsi="Garamond"/>
          <w:sz w:val="22"/>
          <w:szCs w:val="22"/>
          <w:lang w:val="hu-HU"/>
        </w:rPr>
        <w:br w:type="page"/>
      </w:r>
    </w:p>
    <w:p w:rsidR="00AB0585" w:rsidRPr="00490556" w:rsidRDefault="00AB0585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AB0585" w:rsidRPr="00490556" w:rsidRDefault="0057441C" w:rsidP="004B0599">
      <w:pPr>
        <w:pStyle w:val="Szvegtrzs"/>
        <w:spacing w:after="0" w:line="276" w:lineRule="auto"/>
        <w:jc w:val="both"/>
        <w:rPr>
          <w:rStyle w:val="Kiemels2"/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Határidők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3369"/>
      </w:tblGrid>
      <w:tr w:rsidR="00AB0585" w:rsidRPr="00AB0585" w:rsidTr="007C24A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5" w:rsidRPr="00AB0585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Őszi félév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által vizsgált időtartam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február 1. - 2018. augusztus 31.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benyújtásának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091968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 xml:space="preserve">2018. </w:t>
            </w:r>
            <w:r w:rsidR="00705988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szeptember 30</w:t>
            </w:r>
            <w:r w:rsidR="00AB0585"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Az előzetes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091968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 xml:space="preserve">2018. </w:t>
            </w:r>
            <w:r w:rsidR="00705988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október 11</w:t>
            </w:r>
            <w:r w:rsidR="00AB0585"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felszólalás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705988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október 14</w:t>
            </w:r>
            <w:r w:rsidR="00AB0585"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végleges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705988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október 15</w:t>
            </w:r>
            <w:r w:rsidR="00AB0585"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5" w:rsidRPr="00AB0585" w:rsidRDefault="007C24A6" w:rsidP="007C24A6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Első k</w:t>
            </w:r>
            <w:r w:rsidR="00AB0585"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ifizetés időpontja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 xml:space="preserve">2018. </w:t>
            </w:r>
            <w:r w:rsidR="00705988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november 9</w:t>
            </w:r>
            <w:r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.</w:t>
            </w:r>
          </w:p>
        </w:tc>
      </w:tr>
      <w:tr w:rsidR="00AB0585" w:rsidRPr="00AB0585" w:rsidTr="007C24A6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5" w:rsidRPr="006A3B7C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5" w:rsidRPr="006A3B7C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Tavaszi félév</w:t>
            </w:r>
          </w:p>
        </w:tc>
      </w:tr>
      <w:tr w:rsidR="00AB0585" w:rsidRPr="00490556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által vizsgált időtartam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6A3B7C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6A3B7C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szeptember 1. - 2019. január 31.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benyújtásának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február 6.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Az előzetes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február 11.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felszólalás határideje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február 13.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végleges eredmény kihirdetése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február 15.</w:t>
            </w:r>
          </w:p>
        </w:tc>
      </w:tr>
      <w:tr w:rsidR="00AB0585" w:rsidRPr="00AB0585" w:rsidTr="007C24A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585" w:rsidRPr="00AB0585" w:rsidRDefault="007C24A6" w:rsidP="007C24A6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Első k</w:t>
            </w:r>
            <w:r w:rsidR="00AB0585"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ifizetés időpontja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85" w:rsidRPr="00AB0585" w:rsidRDefault="00AB0585" w:rsidP="00AB0585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AB0585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március 8.</w:t>
            </w:r>
          </w:p>
        </w:tc>
      </w:tr>
    </w:tbl>
    <w:p w:rsidR="0057441C" w:rsidRPr="00490556" w:rsidRDefault="0057441C" w:rsidP="00677026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 nem a kiírás szerint benyújtott vagy a pályázat határidejének lejárta után benyújtott pályázat érvénytelennek minősül és elutasításra kerül. A pályázat keretében hiánypótlásra nincs mód, a benyújtott pályázat hiánytalanságáért a pályázó felel.</w:t>
      </w: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Eredmény</w:t>
      </w:r>
    </w:p>
    <w:p w:rsidR="00E04EC1" w:rsidRPr="00490556" w:rsidRDefault="00E04EC1" w:rsidP="00E04EC1">
      <w:pPr>
        <w:ind w:right="7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bookmarkStart w:id="1" w:name="_Hlk520360727"/>
      <w:r w:rsidRPr="00490556">
        <w:rPr>
          <w:rFonts w:ascii="Garamond" w:hAnsi="Garamond"/>
          <w:color w:val="000000"/>
          <w:sz w:val="22"/>
          <w:szCs w:val="22"/>
          <w:lang w:val="hu-HU"/>
        </w:rPr>
        <w:t xml:space="preserve">A VIK HK a döntést megelőzően a Határidők részben megjelölt időpontig tájékoztató jelleggel előzetes eredményt tesz közzé a saját honlapján. </w:t>
      </w:r>
    </w:p>
    <w:p w:rsidR="00E04EC1" w:rsidRPr="00490556" w:rsidRDefault="00E04EC1" w:rsidP="00E04EC1">
      <w:pPr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490556">
        <w:rPr>
          <w:rFonts w:ascii="Garamond" w:hAnsi="Garamond"/>
          <w:color w:val="000000"/>
          <w:sz w:val="22"/>
          <w:szCs w:val="22"/>
          <w:lang w:val="hu-HU"/>
        </w:rPr>
        <w:t>A végleges eredményt a VIK HK a Határidők részben megjelölt határidőig a saját honlapján hozza nyilvánosságra.</w:t>
      </w:r>
    </w:p>
    <w:p w:rsidR="00E04EC1" w:rsidRPr="00490556" w:rsidRDefault="00E04EC1" w:rsidP="00E04EC1">
      <w:pPr>
        <w:jc w:val="both"/>
        <w:rPr>
          <w:rFonts w:ascii="Garamond" w:hAnsi="Garamond"/>
          <w:color w:val="000000"/>
          <w:sz w:val="22"/>
          <w:szCs w:val="22"/>
          <w:lang w:val="hu-HU"/>
        </w:rPr>
      </w:pPr>
    </w:p>
    <w:bookmarkEnd w:id="1"/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Adatvédelem</w:t>
      </w: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A TJSZ 33. § (6) és (7) bekezdései alapján a VIK HK az ösztöndíj pályázatok elbírálásához szükséges adatokat a hatályos adatvédelmi szabályoknak megfelelően kezeli, a mellékelt tájékoztató szerint. A pályázó a pályázat leadásával beleegyezik személyes adatai mellékelt tájékoztató szerinti kezelésébe.</w:t>
      </w:r>
    </w:p>
    <w:p w:rsidR="00B230F3" w:rsidRPr="00490556" w:rsidRDefault="00B230F3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Style w:val="Kiemels2"/>
          <w:rFonts w:ascii="Garamond" w:hAnsi="Garamond"/>
          <w:sz w:val="22"/>
          <w:szCs w:val="22"/>
          <w:lang w:val="hu-HU"/>
        </w:rPr>
        <w:t>Jogorvoslat</w:t>
      </w:r>
    </w:p>
    <w:p w:rsidR="00B230F3" w:rsidRPr="00490556" w:rsidRDefault="00B230F3" w:rsidP="00B230F3">
      <w:pPr>
        <w:ind w:right="7"/>
        <w:jc w:val="both"/>
        <w:rPr>
          <w:rFonts w:ascii="Garamond" w:hAnsi="Garamond"/>
          <w:color w:val="000000"/>
          <w:sz w:val="22"/>
          <w:szCs w:val="22"/>
          <w:lang w:val="hu-HU"/>
        </w:rPr>
      </w:pPr>
      <w:r w:rsidRPr="00490556">
        <w:rPr>
          <w:rFonts w:ascii="Garamond" w:hAnsi="Garamond"/>
          <w:color w:val="000000"/>
          <w:sz w:val="22"/>
          <w:szCs w:val="22"/>
          <w:lang w:val="hu-HU"/>
        </w:rPr>
        <w:t>A pályázó az előzetes eredmény ellen felszólalással élhet a Határidők részben megjelölt időpontig a VIK HK-</w:t>
      </w:r>
      <w:proofErr w:type="spellStart"/>
      <w:r w:rsidRPr="00490556">
        <w:rPr>
          <w:rFonts w:ascii="Garamond" w:hAnsi="Garamond"/>
          <w:color w:val="000000"/>
          <w:sz w:val="22"/>
          <w:szCs w:val="22"/>
          <w:lang w:val="hu-HU"/>
        </w:rPr>
        <w:t>nál</w:t>
      </w:r>
      <w:proofErr w:type="spellEnd"/>
      <w:r w:rsidRPr="00490556">
        <w:rPr>
          <w:rFonts w:ascii="Garamond" w:hAnsi="Garamond"/>
          <w:color w:val="000000"/>
          <w:sz w:val="22"/>
          <w:szCs w:val="22"/>
          <w:lang w:val="hu-HU"/>
        </w:rPr>
        <w:t xml:space="preserve">. A felszólalási szándékát </w:t>
      </w:r>
      <w:r w:rsidRPr="00677026">
        <w:rPr>
          <w:rFonts w:ascii="Garamond" w:hAnsi="Garamond"/>
          <w:color w:val="000000"/>
          <w:sz w:val="22"/>
          <w:szCs w:val="22"/>
          <w:lang w:val="hu-HU"/>
        </w:rPr>
        <w:t>a</w:t>
      </w:r>
      <w:r w:rsidR="00677026" w:rsidRPr="00677026">
        <w:rPr>
          <w:rFonts w:ascii="Garamond" w:hAnsi="Garamond"/>
          <w:color w:val="000000"/>
          <w:sz w:val="22"/>
          <w:szCs w:val="22"/>
          <w:lang w:val="hu-HU"/>
        </w:rPr>
        <w:t xml:space="preserve">z </w:t>
      </w:r>
      <w:hyperlink r:id="rId10" w:history="1">
        <w:r w:rsidR="00677026" w:rsidRPr="00677026">
          <w:rPr>
            <w:rFonts w:ascii="Garamond" w:hAnsi="Garamond"/>
            <w:color w:val="000000"/>
            <w:sz w:val="22"/>
            <w:szCs w:val="22"/>
            <w:lang w:val="hu-HU"/>
          </w:rPr>
          <w:t>elnok@vik.h</w:t>
        </w:r>
      </w:hyperlink>
      <w:r w:rsidR="00677026" w:rsidRPr="00677026">
        <w:rPr>
          <w:rFonts w:ascii="Garamond" w:hAnsi="Garamond"/>
          <w:color w:val="000000"/>
          <w:sz w:val="22"/>
          <w:szCs w:val="22"/>
          <w:lang w:val="hu-HU"/>
        </w:rPr>
        <w:t>k</w:t>
      </w:r>
      <w:r w:rsidR="00677026">
        <w:rPr>
          <w:rFonts w:ascii="Garamond" w:hAnsi="Garamond"/>
          <w:color w:val="000000"/>
          <w:sz w:val="22"/>
          <w:szCs w:val="22"/>
          <w:lang w:val="hu-HU"/>
        </w:rPr>
        <w:t xml:space="preserve"> c</w:t>
      </w:r>
      <w:r w:rsidRPr="00490556">
        <w:rPr>
          <w:rFonts w:ascii="Garamond" w:hAnsi="Garamond"/>
          <w:color w:val="000000"/>
          <w:sz w:val="22"/>
          <w:szCs w:val="22"/>
          <w:lang w:val="hu-HU"/>
        </w:rPr>
        <w:t xml:space="preserve">ímre küldött emailben jelezheti a pályázó. </w:t>
      </w: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677026">
        <w:rPr>
          <w:rFonts w:ascii="Garamond" w:eastAsia="Times New Roman" w:hAnsi="Garamond" w:cs="Times New Roman"/>
          <w:color w:val="000000"/>
          <w:kern w:val="0"/>
          <w:sz w:val="22"/>
          <w:szCs w:val="22"/>
          <w:lang w:val="hu-HU" w:eastAsia="en-US" w:bidi="ar-SA"/>
        </w:rPr>
        <w:t>A hallgató a pályázat elbírálásának eredménye elle</w:t>
      </w:r>
      <w:r w:rsidRPr="00490556">
        <w:rPr>
          <w:rFonts w:ascii="Garamond" w:hAnsi="Garamond"/>
          <w:sz w:val="22"/>
          <w:szCs w:val="22"/>
          <w:lang w:val="hu-HU"/>
        </w:rPr>
        <w:t>n – a közléstől, ennek hiányában a tudomására jutásától számított 15 napon belül – a Hallgatói Jogorvoslati Bizottságnál jogorvoslattal élhet, a Neptun rendszerben elérhető 001-es számú kérvény leadásával.</w:t>
      </w:r>
    </w:p>
    <w:p w:rsidR="0057441C" w:rsidRPr="00490556" w:rsidRDefault="0057441C" w:rsidP="004B0599">
      <w:pPr>
        <w:pStyle w:val="Szvegtrzs"/>
        <w:spacing w:after="0"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> </w:t>
      </w:r>
    </w:p>
    <w:p w:rsidR="00B230F3" w:rsidRPr="00490556" w:rsidRDefault="00B230F3" w:rsidP="00B230F3">
      <w:pPr>
        <w:spacing w:line="276" w:lineRule="auto"/>
        <w:jc w:val="both"/>
        <w:rPr>
          <w:rFonts w:ascii="Garamond" w:eastAsia="Garamond" w:hAnsi="Garamond"/>
          <w:sz w:val="22"/>
          <w:szCs w:val="22"/>
          <w:lang w:val="hu-HU"/>
        </w:rPr>
      </w:pPr>
      <w:r w:rsidRPr="00490556">
        <w:rPr>
          <w:rFonts w:ascii="Garamond" w:eastAsia="Garamond" w:hAnsi="Garamond"/>
          <w:sz w:val="22"/>
          <w:szCs w:val="22"/>
          <w:lang w:val="hu-HU"/>
        </w:rPr>
        <w:t xml:space="preserve">Budapest, </w:t>
      </w:r>
      <w:r w:rsidR="00677026">
        <w:rPr>
          <w:rFonts w:ascii="Garamond" w:eastAsia="Garamond" w:hAnsi="Garamond"/>
          <w:sz w:val="22"/>
          <w:szCs w:val="22"/>
          <w:lang w:val="hu-HU"/>
        </w:rPr>
        <w:t>2018. augusztus 31.</w:t>
      </w:r>
    </w:p>
    <w:p w:rsidR="00B230F3" w:rsidRPr="00490556" w:rsidRDefault="00B230F3" w:rsidP="00B230F3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</w:p>
    <w:p w:rsidR="00B230F3" w:rsidRPr="00490556" w:rsidRDefault="00B230F3" w:rsidP="00B230F3">
      <w:pPr>
        <w:tabs>
          <w:tab w:val="left" w:pos="3660"/>
        </w:tabs>
        <w:spacing w:line="276" w:lineRule="auto"/>
        <w:jc w:val="right"/>
        <w:rPr>
          <w:rFonts w:ascii="Garamond" w:eastAsia="Garamond" w:hAnsi="Garamond"/>
          <w:sz w:val="22"/>
          <w:szCs w:val="22"/>
          <w:lang w:val="hu-HU"/>
        </w:rPr>
      </w:pPr>
      <w:r w:rsidRPr="00490556">
        <w:rPr>
          <w:rFonts w:ascii="Garamond" w:hAnsi="Garamond"/>
          <w:sz w:val="22"/>
          <w:szCs w:val="22"/>
          <w:lang w:val="hu-HU"/>
        </w:rPr>
        <w:tab/>
      </w:r>
      <w:r w:rsidRPr="00490556">
        <w:rPr>
          <w:rFonts w:ascii="Garamond" w:eastAsia="Garamond" w:hAnsi="Garamond"/>
          <w:sz w:val="22"/>
          <w:szCs w:val="22"/>
          <w:lang w:val="hu-HU"/>
        </w:rPr>
        <w:t>Villamosmérnöki és Informatikai Kar</w:t>
      </w:r>
    </w:p>
    <w:p w:rsidR="00B230F3" w:rsidRPr="00490556" w:rsidRDefault="00B230F3" w:rsidP="00B230F3">
      <w:pPr>
        <w:spacing w:line="276" w:lineRule="auto"/>
        <w:jc w:val="right"/>
        <w:rPr>
          <w:rFonts w:ascii="Garamond" w:hAnsi="Garamond"/>
          <w:sz w:val="22"/>
          <w:szCs w:val="22"/>
          <w:lang w:val="hu-HU"/>
        </w:rPr>
      </w:pPr>
      <w:r w:rsidRPr="00490556">
        <w:rPr>
          <w:rFonts w:ascii="Garamond" w:eastAsia="Garamond" w:hAnsi="Garamond"/>
          <w:sz w:val="22"/>
          <w:szCs w:val="22"/>
          <w:lang w:val="hu-HU"/>
        </w:rPr>
        <w:t>Hallgatói Képviselet</w:t>
      </w:r>
    </w:p>
    <w:p w:rsidR="00A7474C" w:rsidRPr="00490556" w:rsidRDefault="00A7474C" w:rsidP="00B230F3">
      <w:pPr>
        <w:pStyle w:val="Szvegtrzs"/>
        <w:spacing w:after="0"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sectPr w:rsidR="00A7474C" w:rsidRPr="00490556" w:rsidSect="004B0599">
      <w:headerReference w:type="default" r:id="rId11"/>
      <w:footerReference w:type="default" r:id="rId12"/>
      <w:pgSz w:w="11906" w:h="16838"/>
      <w:pgMar w:top="993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C9" w:rsidRDefault="00064DC9" w:rsidP="00835A28">
      <w:r>
        <w:separator/>
      </w:r>
    </w:p>
  </w:endnote>
  <w:endnote w:type="continuationSeparator" w:id="0">
    <w:p w:rsidR="00064DC9" w:rsidRDefault="00064DC9" w:rsidP="008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28" w:rsidRDefault="00835A28" w:rsidP="00835A28">
    <w:pPr>
      <w:pStyle w:val="llb"/>
      <w:pBdr>
        <w:bottom w:val="single" w:sz="6" w:space="1" w:color="auto"/>
      </w:pBdr>
    </w:pPr>
  </w:p>
  <w:p w:rsidR="004B0599" w:rsidRDefault="004B0599" w:rsidP="00835A28">
    <w:pPr>
      <w:pStyle w:val="llb"/>
    </w:pPr>
    <w:r w:rsidRPr="004B0599">
      <w:rPr>
        <w:noProof/>
        <w:lang w:eastAsia="hu-HU"/>
      </w:rPr>
      <w:drawing>
        <wp:inline distT="0" distB="0" distL="0" distR="0">
          <wp:extent cx="6120130" cy="487373"/>
          <wp:effectExtent l="0" t="0" r="0" b="825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C9" w:rsidRDefault="00064DC9" w:rsidP="00835A28">
      <w:r>
        <w:separator/>
      </w:r>
    </w:p>
  </w:footnote>
  <w:footnote w:type="continuationSeparator" w:id="0">
    <w:p w:rsidR="00064DC9" w:rsidRDefault="00064DC9" w:rsidP="00835A28">
      <w:r>
        <w:continuationSeparator/>
      </w:r>
    </w:p>
  </w:footnote>
  <w:footnote w:id="1">
    <w:p w:rsidR="004B0599" w:rsidRPr="004B0599" w:rsidRDefault="004B0599" w:rsidP="00677026">
      <w:pPr>
        <w:pStyle w:val="Szvegtrzs"/>
        <w:spacing w:after="0"/>
        <w:ind w:left="424"/>
        <w:jc w:val="both"/>
        <w:rPr>
          <w:rFonts w:ascii="Garamond" w:hAnsi="Garamond"/>
          <w:sz w:val="18"/>
          <w:lang w:val="hu-HU"/>
        </w:rPr>
      </w:pPr>
      <w:r w:rsidRPr="004B0599">
        <w:rPr>
          <w:rStyle w:val="Lbjegyzet-hivatkozs"/>
          <w:rFonts w:ascii="Garamond" w:hAnsi="Garamond"/>
          <w:sz w:val="20"/>
        </w:rPr>
        <w:footnoteRef/>
      </w:r>
      <w:r w:rsidRPr="004B0599">
        <w:rPr>
          <w:rFonts w:ascii="Garamond" w:hAnsi="Garamond"/>
          <w:sz w:val="20"/>
        </w:rPr>
        <w:t xml:space="preserve"> </w:t>
      </w:r>
      <w:r w:rsidRPr="004B0599">
        <w:rPr>
          <w:rFonts w:ascii="Garamond" w:hAnsi="Garamond"/>
          <w:sz w:val="20"/>
          <w:szCs w:val="28"/>
          <w:lang w:val="hu-HU"/>
        </w:rPr>
        <w:t xml:space="preserve">Az oklevél megszerzéséhez szükséges nyelvvizsgáért nem jár pont; Csak az adott időszakban megszerzett nyelvvizsgáért jár pont; Bíráláskor csak a beadott vizsgabizonyítványok vehetők figyelembe </w:t>
      </w:r>
    </w:p>
    <w:p w:rsidR="004B0599" w:rsidRDefault="004B059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246"/>
      <w:gridCol w:w="3021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4" name="Kép 4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  <w:pBdr>
        <w:bottom w:val="single" w:sz="6" w:space="1" w:color="auto"/>
      </w:pBdr>
    </w:pPr>
  </w:p>
  <w:p w:rsidR="004B0599" w:rsidRDefault="004B05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B70DAE"/>
    <w:multiLevelType w:val="multilevel"/>
    <w:tmpl w:val="1374C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FF2FE7"/>
    <w:multiLevelType w:val="multilevel"/>
    <w:tmpl w:val="BF688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1617C"/>
    <w:multiLevelType w:val="multilevel"/>
    <w:tmpl w:val="2F4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C07C9"/>
    <w:multiLevelType w:val="hybridMultilevel"/>
    <w:tmpl w:val="5C74534A"/>
    <w:lvl w:ilvl="0" w:tplc="0A1E6894">
      <w:numFmt w:val="decimal"/>
      <w:lvlText w:val="%1"/>
      <w:lvlJc w:val="left"/>
      <w:pPr>
        <w:ind w:left="720" w:hanging="360"/>
      </w:pPr>
      <w:rPr>
        <w:rFonts w:eastAsia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54E9"/>
    <w:multiLevelType w:val="hybridMultilevel"/>
    <w:tmpl w:val="E1842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A608F"/>
    <w:multiLevelType w:val="multilevel"/>
    <w:tmpl w:val="CBD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9513C7"/>
    <w:multiLevelType w:val="multilevel"/>
    <w:tmpl w:val="CBD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FA417A"/>
    <w:multiLevelType w:val="hybridMultilevel"/>
    <w:tmpl w:val="33966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2343"/>
    <w:multiLevelType w:val="hybridMultilevel"/>
    <w:tmpl w:val="48D2089E"/>
    <w:lvl w:ilvl="0" w:tplc="18EC849E">
      <w:start w:val="1"/>
      <w:numFmt w:val="decimal"/>
      <w:lvlText w:val="%1."/>
      <w:lvlJc w:val="left"/>
      <w:pPr>
        <w:ind w:left="720" w:hanging="360"/>
      </w:pPr>
      <w:rPr>
        <w:rFonts w:eastAsia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C9B"/>
    <w:multiLevelType w:val="hybridMultilevel"/>
    <w:tmpl w:val="DFE857EA"/>
    <w:lvl w:ilvl="0" w:tplc="040E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9807EEE"/>
    <w:multiLevelType w:val="multilevel"/>
    <w:tmpl w:val="740A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04FC8"/>
    <w:multiLevelType w:val="multilevel"/>
    <w:tmpl w:val="CBD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F60F5F"/>
    <w:multiLevelType w:val="multilevel"/>
    <w:tmpl w:val="8DF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912BDC"/>
    <w:multiLevelType w:val="multilevel"/>
    <w:tmpl w:val="CBD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926F9F"/>
    <w:multiLevelType w:val="multilevel"/>
    <w:tmpl w:val="1374C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EE073C"/>
    <w:multiLevelType w:val="hybridMultilevel"/>
    <w:tmpl w:val="E3AA83D0"/>
    <w:lvl w:ilvl="0" w:tplc="7E46E87E">
      <w:start w:val="1"/>
      <w:numFmt w:val="decimal"/>
      <w:lvlText w:val="%1."/>
      <w:lvlJc w:val="left"/>
      <w:pPr>
        <w:ind w:left="38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08" w:hanging="360"/>
      </w:pPr>
    </w:lvl>
    <w:lvl w:ilvl="2" w:tplc="040E001B" w:tentative="1">
      <w:start w:val="1"/>
      <w:numFmt w:val="lowerRoman"/>
      <w:lvlText w:val="%3."/>
      <w:lvlJc w:val="right"/>
      <w:pPr>
        <w:ind w:left="5328" w:hanging="180"/>
      </w:pPr>
    </w:lvl>
    <w:lvl w:ilvl="3" w:tplc="040E000F" w:tentative="1">
      <w:start w:val="1"/>
      <w:numFmt w:val="decimal"/>
      <w:lvlText w:val="%4."/>
      <w:lvlJc w:val="left"/>
      <w:pPr>
        <w:ind w:left="6048" w:hanging="360"/>
      </w:pPr>
    </w:lvl>
    <w:lvl w:ilvl="4" w:tplc="040E0019" w:tentative="1">
      <w:start w:val="1"/>
      <w:numFmt w:val="lowerLetter"/>
      <w:lvlText w:val="%5."/>
      <w:lvlJc w:val="left"/>
      <w:pPr>
        <w:ind w:left="6768" w:hanging="360"/>
      </w:pPr>
    </w:lvl>
    <w:lvl w:ilvl="5" w:tplc="040E001B" w:tentative="1">
      <w:start w:val="1"/>
      <w:numFmt w:val="lowerRoman"/>
      <w:lvlText w:val="%6."/>
      <w:lvlJc w:val="right"/>
      <w:pPr>
        <w:ind w:left="7488" w:hanging="180"/>
      </w:pPr>
    </w:lvl>
    <w:lvl w:ilvl="6" w:tplc="040E000F" w:tentative="1">
      <w:start w:val="1"/>
      <w:numFmt w:val="decimal"/>
      <w:lvlText w:val="%7."/>
      <w:lvlJc w:val="left"/>
      <w:pPr>
        <w:ind w:left="8208" w:hanging="360"/>
      </w:pPr>
    </w:lvl>
    <w:lvl w:ilvl="7" w:tplc="040E0019" w:tentative="1">
      <w:start w:val="1"/>
      <w:numFmt w:val="lowerLetter"/>
      <w:lvlText w:val="%8."/>
      <w:lvlJc w:val="left"/>
      <w:pPr>
        <w:ind w:left="8928" w:hanging="360"/>
      </w:pPr>
    </w:lvl>
    <w:lvl w:ilvl="8" w:tplc="040E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18" w15:restartNumberingAfterBreak="0">
    <w:nsid w:val="57D00B35"/>
    <w:multiLevelType w:val="hybridMultilevel"/>
    <w:tmpl w:val="8366412C"/>
    <w:lvl w:ilvl="0" w:tplc="5C7A1D82">
      <w:numFmt w:val="decimal"/>
      <w:lvlText w:val="%1"/>
      <w:lvlJc w:val="left"/>
      <w:pPr>
        <w:ind w:left="720" w:hanging="360"/>
      </w:pPr>
      <w:rPr>
        <w:rFonts w:eastAsia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B35E4"/>
    <w:multiLevelType w:val="multilevel"/>
    <w:tmpl w:val="558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790CDC"/>
    <w:multiLevelType w:val="multilevel"/>
    <w:tmpl w:val="CBD89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2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20"/>
  </w:num>
  <w:num w:numId="16">
    <w:abstractNumId w:val="7"/>
  </w:num>
  <w:num w:numId="17">
    <w:abstractNumId w:val="1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64DC9"/>
    <w:rsid w:val="00091968"/>
    <w:rsid w:val="000F354A"/>
    <w:rsid w:val="002D5132"/>
    <w:rsid w:val="0038369C"/>
    <w:rsid w:val="003B5848"/>
    <w:rsid w:val="00435432"/>
    <w:rsid w:val="00490556"/>
    <w:rsid w:val="004B0599"/>
    <w:rsid w:val="0053601A"/>
    <w:rsid w:val="00571FC0"/>
    <w:rsid w:val="0057441C"/>
    <w:rsid w:val="0058083A"/>
    <w:rsid w:val="00593D64"/>
    <w:rsid w:val="005D1889"/>
    <w:rsid w:val="0063511F"/>
    <w:rsid w:val="0065135F"/>
    <w:rsid w:val="00677026"/>
    <w:rsid w:val="006A3B7C"/>
    <w:rsid w:val="00705988"/>
    <w:rsid w:val="00731801"/>
    <w:rsid w:val="007B40AA"/>
    <w:rsid w:val="007C24A6"/>
    <w:rsid w:val="007C518C"/>
    <w:rsid w:val="00835A28"/>
    <w:rsid w:val="00856BAC"/>
    <w:rsid w:val="00884E53"/>
    <w:rsid w:val="00894AAC"/>
    <w:rsid w:val="008F63A2"/>
    <w:rsid w:val="00914E3B"/>
    <w:rsid w:val="00921B81"/>
    <w:rsid w:val="00923984"/>
    <w:rsid w:val="009F7F80"/>
    <w:rsid w:val="00A24190"/>
    <w:rsid w:val="00A40D57"/>
    <w:rsid w:val="00A4223F"/>
    <w:rsid w:val="00A54046"/>
    <w:rsid w:val="00A726A8"/>
    <w:rsid w:val="00A7474C"/>
    <w:rsid w:val="00A9670A"/>
    <w:rsid w:val="00AB0585"/>
    <w:rsid w:val="00B139F9"/>
    <w:rsid w:val="00B230F3"/>
    <w:rsid w:val="00B25E4A"/>
    <w:rsid w:val="00B532DC"/>
    <w:rsid w:val="00C80A46"/>
    <w:rsid w:val="00CA21AD"/>
    <w:rsid w:val="00CC3FE8"/>
    <w:rsid w:val="00D83AA3"/>
    <w:rsid w:val="00DA4B27"/>
    <w:rsid w:val="00DA734C"/>
    <w:rsid w:val="00E04EC1"/>
    <w:rsid w:val="00E27922"/>
    <w:rsid w:val="00E37B09"/>
    <w:rsid w:val="00E428C2"/>
    <w:rsid w:val="00EB70D6"/>
    <w:rsid w:val="00F21F31"/>
    <w:rsid w:val="00F26D25"/>
    <w:rsid w:val="00F83606"/>
    <w:rsid w:val="00F92055"/>
    <w:rsid w:val="00FB5462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A1B7D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35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11F"/>
    <w:rPr>
      <w:rFonts w:ascii="Calibri" w:eastAsia="Calibri" w:hAnsi="Calibr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11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11F"/>
    <w:rPr>
      <w:vertAlign w:val="superscript"/>
    </w:rPr>
  </w:style>
  <w:style w:type="character" w:styleId="Kiemels2">
    <w:name w:val="Strong"/>
    <w:qFormat/>
    <w:rsid w:val="0057441C"/>
    <w:rPr>
      <w:b/>
      <w:bCs/>
    </w:rPr>
  </w:style>
  <w:style w:type="paragraph" w:styleId="Szvegtrzs">
    <w:name w:val="Body Text"/>
    <w:basedOn w:val="Norml"/>
    <w:link w:val="SzvegtrzsChar"/>
    <w:rsid w:val="0057441C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7441C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l"/>
    <w:rsid w:val="0057441C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styleId="Jegyzethivatkozs">
    <w:name w:val="annotation reference"/>
    <w:basedOn w:val="Bekezdsalapbettpusa"/>
    <w:unhideWhenUsed/>
    <w:qFormat/>
    <w:rsid w:val="00F26D2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qFormat/>
    <w:rsid w:val="00F26D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qFormat/>
    <w:rsid w:val="00F26D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D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D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6D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D25"/>
    <w:rPr>
      <w:rFonts w:ascii="Segoe UI" w:eastAsia="Times New Roman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24A6"/>
    <w:rPr>
      <w:color w:val="954F72" w:themeColor="followedHyperlink"/>
      <w:u w:val="single"/>
    </w:rPr>
  </w:style>
  <w:style w:type="paragraph" w:customStyle="1" w:styleId="m772783315710601818msoplaintext">
    <w:name w:val="m_772783315710601818msoplaintext"/>
    <w:basedOn w:val="Norml"/>
    <w:rsid w:val="00435432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k\Desktop\KBME%20pontoz&#225;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nok@vik.h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yazat@vik.h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B70D-BAEF-451D-AAF1-BB25758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1368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Ferenczi.Bernadett@hszi.bme.hu</dc:creator>
  <cp:keywords/>
  <dc:description/>
  <cp:lastModifiedBy>hk_joosn</cp:lastModifiedBy>
  <cp:revision>7</cp:revision>
  <dcterms:created xsi:type="dcterms:W3CDTF">2018-08-29T12:47:00Z</dcterms:created>
  <dcterms:modified xsi:type="dcterms:W3CDTF">2018-09-16T11:33:00Z</dcterms:modified>
</cp:coreProperties>
</file>