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1F" w:rsidRPr="00980288" w:rsidRDefault="0063511F" w:rsidP="00980288">
      <w:pPr>
        <w:keepNext/>
        <w:spacing w:line="276" w:lineRule="auto"/>
        <w:jc w:val="center"/>
        <w:outlineLvl w:val="0"/>
        <w:rPr>
          <w:rFonts w:ascii="Garamond" w:hAnsi="Garamond"/>
          <w:b/>
          <w:sz w:val="22"/>
          <w:szCs w:val="22"/>
          <w:lang w:val="hu-HU"/>
        </w:rPr>
      </w:pPr>
      <w:r w:rsidRPr="00980288">
        <w:rPr>
          <w:rFonts w:ascii="Garamond" w:hAnsi="Garamond"/>
          <w:b/>
          <w:sz w:val="22"/>
          <w:szCs w:val="22"/>
          <w:lang w:val="hu-HU"/>
        </w:rPr>
        <w:t>Villamosmérnöki és Informatikai Kar Hallgatói Képviselet</w:t>
      </w:r>
    </w:p>
    <w:p w:rsidR="0063511F" w:rsidRPr="00980288" w:rsidRDefault="006E4EBE" w:rsidP="00980288">
      <w:pPr>
        <w:spacing w:line="276" w:lineRule="auto"/>
        <w:jc w:val="center"/>
        <w:rPr>
          <w:rFonts w:ascii="Garamond" w:hAnsi="Garamond"/>
          <w:sz w:val="22"/>
          <w:szCs w:val="22"/>
          <w:lang w:val="hu-HU"/>
        </w:rPr>
      </w:pPr>
      <w:r w:rsidRPr="00980288">
        <w:rPr>
          <w:rFonts w:ascii="Garamond" w:hAnsi="Garamond"/>
          <w:b/>
          <w:sz w:val="22"/>
          <w:szCs w:val="22"/>
          <w:lang w:val="hu-HU"/>
        </w:rPr>
        <w:t>Közéleti</w:t>
      </w:r>
      <w:r w:rsidR="00B25E4A" w:rsidRPr="00980288">
        <w:rPr>
          <w:rFonts w:ascii="Garamond" w:hAnsi="Garamond"/>
          <w:b/>
          <w:sz w:val="22"/>
          <w:szCs w:val="22"/>
          <w:lang w:val="hu-HU"/>
        </w:rPr>
        <w:t xml:space="preserve"> Ö</w:t>
      </w:r>
      <w:r w:rsidR="0063511F" w:rsidRPr="00980288">
        <w:rPr>
          <w:rFonts w:ascii="Garamond" w:hAnsi="Garamond"/>
          <w:b/>
          <w:sz w:val="22"/>
          <w:szCs w:val="22"/>
          <w:lang w:val="hu-HU"/>
        </w:rPr>
        <w:t>sztöndíj</w:t>
      </w:r>
    </w:p>
    <w:p w:rsidR="0063511F" w:rsidRDefault="0063511F" w:rsidP="00980288">
      <w:pPr>
        <w:spacing w:line="276" w:lineRule="auto"/>
        <w:jc w:val="center"/>
        <w:rPr>
          <w:rFonts w:ascii="Garamond" w:hAnsi="Garamond"/>
          <w:b/>
          <w:sz w:val="22"/>
          <w:szCs w:val="22"/>
          <w:lang w:val="hu-HU"/>
        </w:rPr>
      </w:pPr>
      <w:r w:rsidRPr="00980288">
        <w:rPr>
          <w:rFonts w:ascii="Garamond" w:hAnsi="Garamond"/>
          <w:b/>
          <w:sz w:val="22"/>
          <w:szCs w:val="22"/>
          <w:lang w:val="hu-HU"/>
        </w:rPr>
        <w:t>Pályázati felhívás</w:t>
      </w:r>
    </w:p>
    <w:p w:rsidR="0063511F" w:rsidRPr="00980288" w:rsidRDefault="0064508B" w:rsidP="004E070E">
      <w:pPr>
        <w:spacing w:after="240" w:line="276" w:lineRule="auto"/>
        <w:jc w:val="center"/>
        <w:rPr>
          <w:rFonts w:ascii="Garamond" w:hAnsi="Garamond"/>
          <w:b/>
          <w:sz w:val="22"/>
          <w:szCs w:val="22"/>
          <w:lang w:val="hu-HU"/>
        </w:rPr>
      </w:pPr>
      <w:r w:rsidRPr="00C72CC1">
        <w:rPr>
          <w:rFonts w:ascii="Garamond" w:hAnsi="Garamond"/>
          <w:b/>
          <w:sz w:val="22"/>
          <w:szCs w:val="22"/>
          <w:lang w:val="hu-HU"/>
        </w:rPr>
        <w:t>2018/</w:t>
      </w:r>
      <w:r w:rsidR="00FD1A03">
        <w:rPr>
          <w:rFonts w:ascii="Garamond" w:hAnsi="Garamond"/>
          <w:b/>
          <w:sz w:val="22"/>
          <w:szCs w:val="22"/>
          <w:lang w:val="hu-HU"/>
        </w:rPr>
        <w:t>20</w:t>
      </w:r>
      <w:r w:rsidRPr="00C72CC1">
        <w:rPr>
          <w:rFonts w:ascii="Garamond" w:hAnsi="Garamond"/>
          <w:b/>
          <w:sz w:val="22"/>
          <w:szCs w:val="22"/>
          <w:lang w:val="hu-HU"/>
        </w:rPr>
        <w:t>19. tanév</w:t>
      </w:r>
    </w:p>
    <w:p w:rsidR="006E4EBE" w:rsidRPr="00980288" w:rsidRDefault="006E4EBE" w:rsidP="004E070E">
      <w:pPr>
        <w:pStyle w:val="NormlWeb"/>
        <w:shd w:val="clear" w:color="auto" w:fill="FFFFFF"/>
        <w:spacing w:before="0" w:beforeAutospacing="0" w:after="12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color w:val="000000"/>
          <w:sz w:val="22"/>
          <w:szCs w:val="22"/>
        </w:rPr>
        <w:t>A Budapesti Műszaki és Gazdaságtudományi Egyetem (BME) Villamosmérnöki és Informatikai Kar (VIK) Hallgatói Képviselet (VIK HK) ösztöndíj pályázatot hirdet a BME Térítési és Juttatási Szabályzat (TJSZ) 11/</w:t>
      </w:r>
      <w:proofErr w:type="gramStart"/>
      <w:r w:rsidRPr="00980288">
        <w:rPr>
          <w:rFonts w:ascii="Garamond" w:hAnsi="Garamond" w:cs="Helvetica"/>
          <w:color w:val="000000"/>
          <w:sz w:val="22"/>
          <w:szCs w:val="22"/>
        </w:rPr>
        <w:t>A</w:t>
      </w:r>
      <w:proofErr w:type="gramEnd"/>
      <w:r w:rsidRPr="00980288">
        <w:rPr>
          <w:rFonts w:ascii="Garamond" w:hAnsi="Garamond" w:cs="Helvetica"/>
          <w:color w:val="000000"/>
          <w:sz w:val="22"/>
          <w:szCs w:val="22"/>
        </w:rPr>
        <w:t>. § alapján, a tanulmányi kötelezettségek teljesítésén felül, a VIK közéletében kiemelkedő tevékenységet végző hallgatók munkájának elismerése és ösztönzése érdekében.</w:t>
      </w:r>
    </w:p>
    <w:p w:rsidR="006E4EBE" w:rsidRPr="00980288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b/>
          <w:bCs/>
          <w:color w:val="000000"/>
          <w:sz w:val="22"/>
          <w:szCs w:val="22"/>
        </w:rPr>
        <w:t>Pályáz</w:t>
      </w:r>
      <w:r w:rsidR="0064508B">
        <w:rPr>
          <w:rFonts w:ascii="Garamond" w:hAnsi="Garamond" w:cs="Helvetica"/>
          <w:b/>
          <w:bCs/>
          <w:color w:val="000000"/>
          <w:sz w:val="22"/>
          <w:szCs w:val="22"/>
        </w:rPr>
        <w:t xml:space="preserve">at </w:t>
      </w:r>
      <w:r w:rsidRPr="00980288">
        <w:rPr>
          <w:rFonts w:ascii="Garamond" w:hAnsi="Garamond" w:cs="Helvetica"/>
          <w:b/>
          <w:bCs/>
          <w:color w:val="000000"/>
          <w:sz w:val="22"/>
          <w:szCs w:val="22"/>
        </w:rPr>
        <w:t>feltételei</w:t>
      </w:r>
    </w:p>
    <w:p w:rsidR="006E4EBE" w:rsidRPr="00980288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color w:val="000000"/>
          <w:sz w:val="22"/>
          <w:szCs w:val="22"/>
        </w:rPr>
        <w:t xml:space="preserve">A pályázaton részt vehet a VIK </w:t>
      </w:r>
      <w:r w:rsidR="0064508B">
        <w:rPr>
          <w:rFonts w:ascii="Garamond" w:hAnsi="Garamond" w:cs="Helvetica"/>
          <w:color w:val="000000"/>
          <w:sz w:val="22"/>
          <w:szCs w:val="22"/>
        </w:rPr>
        <w:t>bár</w:t>
      </w:r>
      <w:r w:rsidRPr="00980288">
        <w:rPr>
          <w:rFonts w:ascii="Garamond" w:hAnsi="Garamond" w:cs="Helvetica"/>
          <w:color w:val="000000"/>
          <w:sz w:val="22"/>
          <w:szCs w:val="22"/>
        </w:rPr>
        <w:t>mely teljes idejű alap- vagy mesterképzésének aktív hallgatói jogviszonnyal rendelkező hallgatója.</w:t>
      </w:r>
    </w:p>
    <w:p w:rsidR="0064508B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000000"/>
          <w:sz w:val="22"/>
          <w:szCs w:val="22"/>
        </w:rPr>
      </w:pPr>
      <w:r w:rsidRPr="00980288">
        <w:rPr>
          <w:rFonts w:ascii="Garamond" w:hAnsi="Garamond" w:cs="Helvetica"/>
          <w:color w:val="000000"/>
          <w:sz w:val="22"/>
          <w:szCs w:val="22"/>
        </w:rPr>
        <w:t xml:space="preserve">Közéleti teljesítményét a hallgató a TJSZ 8. § (4) bekezdésében foglaltak alapján csak egyszer ismertetheti el. </w:t>
      </w:r>
    </w:p>
    <w:p w:rsidR="006E4EBE" w:rsidRPr="00980288" w:rsidRDefault="006E4EBE" w:rsidP="004E070E">
      <w:pPr>
        <w:pStyle w:val="NormlWeb"/>
        <w:shd w:val="clear" w:color="auto" w:fill="FFFFFF"/>
        <w:spacing w:before="0" w:beforeAutospacing="0" w:after="12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color w:val="000000"/>
          <w:sz w:val="22"/>
          <w:szCs w:val="22"/>
        </w:rPr>
        <w:t>A hallgatónak pályázata esetén jeleznie kell, ha az elismertetni kívánt teljesítménnyel/tevékenységgel máshova pályázott, és a bírálat folyamatban van, valamint korábban máshol elismertetett teljesítménnyel/tevékenységgel nem pályázhat.</w:t>
      </w:r>
    </w:p>
    <w:p w:rsidR="006E4EBE" w:rsidRPr="00980288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b/>
          <w:bCs/>
          <w:color w:val="000000"/>
          <w:sz w:val="22"/>
          <w:szCs w:val="22"/>
        </w:rPr>
        <w:t>Elbírálás alapelvei</w:t>
      </w:r>
    </w:p>
    <w:p w:rsidR="006E4EBE" w:rsidRPr="00980288" w:rsidRDefault="006E4EBE" w:rsidP="004E070E">
      <w:pPr>
        <w:pStyle w:val="NormlWeb"/>
        <w:shd w:val="clear" w:color="auto" w:fill="FFFFFF"/>
        <w:spacing w:before="0" w:beforeAutospacing="0" w:after="12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color w:val="000000"/>
          <w:sz w:val="22"/>
          <w:szCs w:val="22"/>
        </w:rPr>
        <w:t>A pályázat elbírálását a VIK HK saját hatáskörben végzi a jelen pályázatban meghatározott pontrendszer alapján.</w:t>
      </w:r>
    </w:p>
    <w:p w:rsidR="0064508B" w:rsidRPr="00FD1A03" w:rsidRDefault="0064508B" w:rsidP="00FD1A03">
      <w:pPr>
        <w:spacing w:line="276" w:lineRule="auto"/>
        <w:rPr>
          <w:rFonts w:ascii="Garamond" w:hAnsi="Garamond"/>
          <w:b/>
          <w:lang w:eastAsia="en-GB"/>
        </w:rPr>
      </w:pPr>
      <w:proofErr w:type="spellStart"/>
      <w:r w:rsidRPr="00FD1A03">
        <w:rPr>
          <w:rFonts w:ascii="Garamond" w:hAnsi="Garamond"/>
          <w:b/>
          <w:lang w:eastAsia="en-GB"/>
        </w:rPr>
        <w:t>Általános</w:t>
      </w:r>
      <w:proofErr w:type="spellEnd"/>
      <w:r w:rsidRPr="00FD1A03">
        <w:rPr>
          <w:rFonts w:ascii="Garamond" w:hAnsi="Garamond"/>
          <w:b/>
          <w:lang w:eastAsia="en-GB"/>
        </w:rPr>
        <w:t xml:space="preserve"> </w:t>
      </w:r>
      <w:proofErr w:type="spellStart"/>
      <w:r w:rsidRPr="00FD1A03">
        <w:rPr>
          <w:rFonts w:ascii="Garamond" w:hAnsi="Garamond"/>
          <w:b/>
          <w:lang w:eastAsia="en-GB"/>
        </w:rPr>
        <w:t>elvek</w:t>
      </w:r>
      <w:proofErr w:type="spellEnd"/>
    </w:p>
    <w:p w:rsidR="0064508B" w:rsidRPr="00FD1A03" w:rsidRDefault="0064508B" w:rsidP="00FD1A03">
      <w:pPr>
        <w:numPr>
          <w:ilvl w:val="0"/>
          <w:numId w:val="9"/>
        </w:numPr>
        <w:spacing w:line="276" w:lineRule="auto"/>
        <w:ind w:left="567"/>
        <w:jc w:val="both"/>
        <w:rPr>
          <w:rFonts w:ascii="Garamond" w:eastAsiaTheme="minorHAnsi" w:hAnsi="Garamond"/>
          <w:bCs/>
          <w:sz w:val="22"/>
          <w:szCs w:val="22"/>
        </w:rPr>
      </w:pPr>
      <w:r w:rsidRPr="0064508B">
        <w:rPr>
          <w:rFonts w:ascii="Garamond" w:hAnsi="Garamond"/>
          <w:sz w:val="22"/>
          <w:szCs w:val="22"/>
          <w:lang w:val="hu-HU" w:eastAsia="en-GB"/>
        </w:rPr>
        <w:t xml:space="preserve">Minden esetben kizárólag a pályázat által vizsgált időtartamban nyújtott tevékenység számít. </w:t>
      </w:r>
    </w:p>
    <w:p w:rsidR="0064508B" w:rsidRDefault="0064508B" w:rsidP="00FD1A03">
      <w:pPr>
        <w:numPr>
          <w:ilvl w:val="0"/>
          <w:numId w:val="9"/>
        </w:numPr>
        <w:spacing w:line="276" w:lineRule="auto"/>
        <w:ind w:left="567"/>
        <w:jc w:val="both"/>
        <w:rPr>
          <w:rFonts w:ascii="Garamond" w:eastAsiaTheme="minorHAnsi" w:hAnsi="Garamond"/>
          <w:bCs/>
          <w:sz w:val="22"/>
          <w:szCs w:val="22"/>
        </w:rPr>
      </w:pPr>
      <w:r w:rsidRPr="00FD1A03">
        <w:rPr>
          <w:rFonts w:ascii="Garamond" w:eastAsiaTheme="minorHAnsi" w:hAnsi="Garamond"/>
          <w:bCs/>
          <w:sz w:val="22"/>
          <w:szCs w:val="22"/>
          <w:lang w:val="hu-HU"/>
        </w:rPr>
        <w:t>Kizárólag lezárt projektért, elvégzett tevékenységért, teljesített vállalásért adható pontszám.</w:t>
      </w:r>
      <w:r>
        <w:rPr>
          <w:rFonts w:ascii="Garamond" w:eastAsiaTheme="minorHAnsi" w:hAnsi="Garamond"/>
          <w:bCs/>
          <w:sz w:val="22"/>
          <w:szCs w:val="22"/>
          <w:lang w:val="hu-HU"/>
        </w:rPr>
        <w:t xml:space="preserve"> </w:t>
      </w:r>
    </w:p>
    <w:p w:rsidR="006E4EBE" w:rsidRPr="004E070E" w:rsidRDefault="0064508B" w:rsidP="004E070E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567" w:hanging="357"/>
        <w:jc w:val="both"/>
        <w:rPr>
          <w:rFonts w:ascii="Garamond" w:eastAsiaTheme="minorHAnsi" w:hAnsi="Garamond"/>
          <w:bCs/>
          <w:sz w:val="22"/>
          <w:szCs w:val="22"/>
        </w:rPr>
      </w:pPr>
      <w:r w:rsidRPr="0064508B">
        <w:rPr>
          <w:rFonts w:ascii="Garamond" w:eastAsiaTheme="minorHAnsi" w:hAnsi="Garamond"/>
          <w:bCs/>
          <w:sz w:val="22"/>
          <w:szCs w:val="22"/>
          <w:lang w:val="hu-HU"/>
        </w:rPr>
        <w:t xml:space="preserve">A valóstól eltérő tartalmú pályázat esetén a pályázat kizárásra kerül, és a </w:t>
      </w:r>
      <w:r w:rsidR="00D04C3E">
        <w:rPr>
          <w:rFonts w:ascii="Garamond" w:eastAsiaTheme="minorHAnsi" w:hAnsi="Garamond"/>
          <w:bCs/>
          <w:sz w:val="22"/>
          <w:szCs w:val="22"/>
          <w:lang w:val="hu-HU"/>
        </w:rPr>
        <w:t>VI</w:t>
      </w:r>
      <w:r w:rsidRPr="0064508B">
        <w:rPr>
          <w:rFonts w:ascii="Garamond" w:eastAsiaTheme="minorHAnsi" w:hAnsi="Garamond"/>
          <w:bCs/>
          <w:sz w:val="22"/>
          <w:szCs w:val="22"/>
          <w:lang w:val="hu-HU"/>
        </w:rPr>
        <w:t>K HK elnöke fegyelmi eljárás elrendelését kezdeményezi.</w:t>
      </w:r>
    </w:p>
    <w:p w:rsidR="006E4EBE" w:rsidRPr="00980288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b/>
          <w:bCs/>
          <w:color w:val="000000"/>
          <w:sz w:val="22"/>
          <w:szCs w:val="22"/>
        </w:rPr>
        <w:t>Pontrendszer</w:t>
      </w:r>
    </w:p>
    <w:p w:rsidR="006E4EBE" w:rsidRPr="00980288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color w:val="000000"/>
          <w:sz w:val="22"/>
          <w:szCs w:val="22"/>
          <w:u w:val="single"/>
        </w:rPr>
        <w:t>Ülések</w:t>
      </w:r>
    </w:p>
    <w:p w:rsidR="006E4EBE" w:rsidRPr="00980288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color w:val="000000"/>
          <w:sz w:val="22"/>
          <w:szCs w:val="22"/>
        </w:rPr>
        <w:t xml:space="preserve">A beszámolási időszakban levő </w:t>
      </w:r>
      <w:r w:rsidR="0064508B">
        <w:rPr>
          <w:rFonts w:ascii="Garamond" w:hAnsi="Garamond" w:cs="Helvetica"/>
          <w:color w:val="000000"/>
          <w:sz w:val="22"/>
          <w:szCs w:val="22"/>
        </w:rPr>
        <w:t xml:space="preserve">VIK </w:t>
      </w:r>
      <w:r w:rsidRPr="00980288">
        <w:rPr>
          <w:rFonts w:ascii="Garamond" w:hAnsi="Garamond" w:cs="Helvetica"/>
          <w:color w:val="000000"/>
          <w:sz w:val="22"/>
          <w:szCs w:val="22"/>
        </w:rPr>
        <w:t xml:space="preserve">HK-hoz köthető üléseken a </w:t>
      </w:r>
      <w:r w:rsidR="0064508B">
        <w:rPr>
          <w:rFonts w:ascii="Garamond" w:hAnsi="Garamond" w:cs="Helvetica"/>
          <w:color w:val="000000"/>
          <w:sz w:val="22"/>
          <w:szCs w:val="22"/>
        </w:rPr>
        <w:t xml:space="preserve">VIK </w:t>
      </w:r>
      <w:r w:rsidRPr="00980288">
        <w:rPr>
          <w:rFonts w:ascii="Garamond" w:hAnsi="Garamond" w:cs="Helvetica"/>
          <w:color w:val="000000"/>
          <w:sz w:val="22"/>
          <w:szCs w:val="22"/>
        </w:rPr>
        <w:t>HK feladatainak ellátása támogatása érdekében történő részvételért a pályázó maximum 3 pontban részesül ülésenként, amelytől a bírálók eltérhetnek az ülés hosszára és a pályázó aktivitására való tekintettel 0–3 pontig.</w:t>
      </w:r>
    </w:p>
    <w:p w:rsidR="006E4EBE" w:rsidRPr="00980288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color w:val="000000"/>
          <w:sz w:val="22"/>
          <w:szCs w:val="22"/>
          <w:u w:val="single"/>
        </w:rPr>
        <w:t>Felelős munkák</w:t>
      </w:r>
    </w:p>
    <w:p w:rsidR="006E4EBE" w:rsidRPr="00980288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color w:val="000000"/>
          <w:sz w:val="22"/>
          <w:szCs w:val="22"/>
        </w:rPr>
        <w:t>Az elvégzett munka megítélése a leadott beszámolók alapján történik. Szükség esetén a pályázó hallgató személyes meghallgatására kerülhet sor a pályázat elbírálása érdekében.</w:t>
      </w:r>
    </w:p>
    <w:p w:rsidR="006E4EBE" w:rsidRPr="00980288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color w:val="000000"/>
          <w:sz w:val="22"/>
          <w:szCs w:val="22"/>
          <w:u w:val="single"/>
        </w:rPr>
        <w:t xml:space="preserve">Projektmunka és egyéb a </w:t>
      </w:r>
      <w:r w:rsidR="0064508B">
        <w:rPr>
          <w:rFonts w:ascii="Garamond" w:hAnsi="Garamond" w:cs="Helvetica"/>
          <w:color w:val="000000"/>
          <w:sz w:val="22"/>
          <w:szCs w:val="22"/>
          <w:u w:val="single"/>
        </w:rPr>
        <w:t xml:space="preserve">VIK </w:t>
      </w:r>
      <w:r w:rsidRPr="00980288">
        <w:rPr>
          <w:rFonts w:ascii="Garamond" w:hAnsi="Garamond" w:cs="Helvetica"/>
          <w:color w:val="000000"/>
          <w:sz w:val="22"/>
          <w:szCs w:val="22"/>
          <w:u w:val="single"/>
        </w:rPr>
        <w:t>HK tevékenységéhez kötődő tevékenységek</w:t>
      </w:r>
    </w:p>
    <w:p w:rsidR="006E4EBE" w:rsidRPr="00980288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color w:val="000000"/>
          <w:sz w:val="22"/>
          <w:szCs w:val="22"/>
        </w:rPr>
        <w:t xml:space="preserve">A </w:t>
      </w:r>
      <w:r w:rsidR="0064508B">
        <w:rPr>
          <w:rFonts w:ascii="Garamond" w:hAnsi="Garamond" w:cs="Helvetica"/>
          <w:color w:val="000000"/>
          <w:sz w:val="22"/>
          <w:szCs w:val="22"/>
        </w:rPr>
        <w:t xml:space="preserve">VIK </w:t>
      </w:r>
      <w:r w:rsidRPr="00980288">
        <w:rPr>
          <w:rFonts w:ascii="Garamond" w:hAnsi="Garamond" w:cs="Helvetica"/>
          <w:color w:val="000000"/>
          <w:sz w:val="22"/>
          <w:szCs w:val="22"/>
        </w:rPr>
        <w:t>HK tevékenységéhez köthető befejeződött – vagy folyamatban levő, de hosszabb távú – projektek esetében a már elvégzett részfeladatok tekintetében a pályázó ezen tevékenységére megítélt pontszámot a bírálók állapítják meg, személyes egyeztetés, a leadott beszámoló, valamint a terület ülésein elhangzó személyes beszámolók alapján. Maximum 30 pont osztható.</w:t>
      </w:r>
    </w:p>
    <w:p w:rsidR="0064508B" w:rsidRPr="00FD1A03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000000"/>
          <w:sz w:val="22"/>
          <w:szCs w:val="22"/>
          <w:u w:val="single"/>
        </w:rPr>
      </w:pPr>
      <w:r w:rsidRPr="00FD1A03">
        <w:rPr>
          <w:rFonts w:ascii="Garamond" w:hAnsi="Garamond" w:cs="Helvetica"/>
          <w:color w:val="000000"/>
          <w:sz w:val="22"/>
          <w:szCs w:val="22"/>
          <w:u w:val="single"/>
        </w:rPr>
        <w:t>Egyéb</w:t>
      </w:r>
    </w:p>
    <w:p w:rsidR="0064508B" w:rsidRDefault="0064508B" w:rsidP="004E070E">
      <w:pPr>
        <w:pStyle w:val="NormlWeb"/>
        <w:shd w:val="clear" w:color="auto" w:fill="FFFFFF"/>
        <w:spacing w:before="0" w:beforeAutospacing="0" w:after="120" w:afterAutospacing="0" w:line="276" w:lineRule="auto"/>
        <w:jc w:val="both"/>
        <w:rPr>
          <w:rFonts w:ascii="Garamond" w:hAnsi="Garamond" w:cs="Helvetica"/>
          <w:color w:val="000000"/>
          <w:sz w:val="22"/>
          <w:szCs w:val="22"/>
        </w:rPr>
      </w:pPr>
      <w:r>
        <w:rPr>
          <w:rFonts w:ascii="Garamond" w:hAnsi="Garamond" w:cs="Helvetica"/>
          <w:color w:val="000000"/>
          <w:sz w:val="22"/>
          <w:szCs w:val="22"/>
        </w:rPr>
        <w:t>A pályázati adatlapon szereplő</w:t>
      </w:r>
      <w:r w:rsidR="006E4EBE" w:rsidRPr="00980288">
        <w:rPr>
          <w:rFonts w:ascii="Garamond" w:hAnsi="Garamond" w:cs="Helvetica"/>
          <w:color w:val="000000"/>
          <w:sz w:val="22"/>
          <w:szCs w:val="22"/>
        </w:rPr>
        <w:t xml:space="preserve"> – a </w:t>
      </w:r>
      <w:r>
        <w:rPr>
          <w:rFonts w:ascii="Garamond" w:hAnsi="Garamond" w:cs="Helvetica"/>
          <w:color w:val="000000"/>
          <w:sz w:val="22"/>
          <w:szCs w:val="22"/>
        </w:rPr>
        <w:t>VIK HK-ban</w:t>
      </w:r>
      <w:r w:rsidR="006E4EBE" w:rsidRPr="00980288">
        <w:rPr>
          <w:rFonts w:ascii="Garamond" w:hAnsi="Garamond" w:cs="Helvetica"/>
          <w:color w:val="000000"/>
          <w:sz w:val="22"/>
          <w:szCs w:val="22"/>
        </w:rPr>
        <w:t xml:space="preserve"> végzett, fenti pontokba nem sorolható – tevékenységet a bíráló pontozhat személyes egyeztetést követően. A pontszám megállapításakor az irányadó mérőszámok a tevékenység </w:t>
      </w:r>
      <w:r w:rsidR="006E4EBE" w:rsidRPr="00980288">
        <w:rPr>
          <w:rFonts w:ascii="Garamond" w:hAnsi="Garamond" w:cs="Helvetica"/>
          <w:color w:val="000000"/>
          <w:sz w:val="22"/>
          <w:szCs w:val="22"/>
        </w:rPr>
        <w:lastRenderedPageBreak/>
        <w:t>elvégzésére fordított idő és a tevékenység eredményének kihatása a kari hallgatói rendszerre. Egyéb feladatokra összesen 60 pont adható.</w:t>
      </w:r>
    </w:p>
    <w:p w:rsidR="0064508B" w:rsidRPr="00980288" w:rsidRDefault="0064508B" w:rsidP="0064508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cs="Helvetica"/>
          <w:color w:val="333333"/>
        </w:rPr>
        <w:t>.</w:t>
      </w:r>
      <w:r w:rsidRPr="00980288">
        <w:rPr>
          <w:rFonts w:ascii="Garamond" w:hAnsi="Garamond" w:cs="Helvetica"/>
          <w:b/>
          <w:bCs/>
          <w:color w:val="000000"/>
          <w:sz w:val="22"/>
          <w:szCs w:val="22"/>
        </w:rPr>
        <w:t>A pályázás folyamata</w:t>
      </w:r>
    </w:p>
    <w:p w:rsidR="006E4EBE" w:rsidRPr="004E070E" w:rsidRDefault="00754916" w:rsidP="004E070E">
      <w:pPr>
        <w:spacing w:after="120"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B859A5">
        <w:rPr>
          <w:rFonts w:ascii="Garamond" w:hAnsi="Garamond"/>
          <w:sz w:val="22"/>
          <w:szCs w:val="22"/>
          <w:lang w:val="hu-HU"/>
        </w:rPr>
        <w:t xml:space="preserve">A pályázat által vizsgált időszakban végzett – a fentiekben megnevezett – tevékenységekről, írásos beszámolót kell készíteni, és azt a </w:t>
      </w:r>
      <w:r w:rsidRPr="000E6C44">
        <w:rPr>
          <w:rFonts w:ascii="Garamond" w:hAnsi="Garamond"/>
          <w:color w:val="1155CC"/>
          <w:sz w:val="22"/>
          <w:szCs w:val="22"/>
          <w:u w:val="single"/>
          <w:lang w:val="hu-HU"/>
        </w:rPr>
        <w:t>http://vik.hk/</w:t>
      </w:r>
      <w:r w:rsidRPr="000E6C44">
        <w:rPr>
          <w:rFonts w:ascii="Garamond" w:hAnsi="Garamond"/>
          <w:sz w:val="22"/>
          <w:szCs w:val="22"/>
          <w:lang w:val="hu-HU"/>
        </w:rPr>
        <w:t xml:space="preserve"> weboldalra kell feltölteni</w:t>
      </w:r>
      <w:r w:rsidRPr="00B859A5">
        <w:rPr>
          <w:rFonts w:ascii="Garamond" w:hAnsi="Garamond"/>
          <w:sz w:val="22"/>
          <w:szCs w:val="22"/>
          <w:lang w:val="hu-HU"/>
        </w:rPr>
        <w:t>.</w:t>
      </w:r>
    </w:p>
    <w:p w:rsidR="006E4EBE" w:rsidRPr="00980288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b/>
          <w:bCs/>
          <w:color w:val="000000"/>
          <w:sz w:val="22"/>
          <w:szCs w:val="22"/>
        </w:rPr>
        <w:t>Tartalmi követelmények és a kapcsolódó igazolások</w:t>
      </w:r>
    </w:p>
    <w:p w:rsidR="006E4EBE" w:rsidRPr="004E070E" w:rsidRDefault="00B040F8" w:rsidP="004E070E">
      <w:pPr>
        <w:widowControl w:val="0"/>
        <w:spacing w:after="120" w:line="276" w:lineRule="auto"/>
        <w:ind w:right="6"/>
        <w:jc w:val="both"/>
        <w:rPr>
          <w:rFonts w:ascii="Garamond" w:hAnsi="Garamond"/>
          <w:color w:val="000000"/>
          <w:sz w:val="22"/>
          <w:szCs w:val="22"/>
          <w:lang w:val="hu-HU"/>
        </w:rPr>
      </w:pPr>
      <w:r w:rsidRPr="00C72CC1">
        <w:rPr>
          <w:rFonts w:ascii="Garamond" w:hAnsi="Garamond"/>
          <w:color w:val="000000"/>
          <w:sz w:val="22"/>
          <w:szCs w:val="22"/>
          <w:lang w:val="hu-HU"/>
        </w:rPr>
        <w:t xml:space="preserve">A </w:t>
      </w:r>
      <w:r w:rsidR="00754916">
        <w:rPr>
          <w:rFonts w:ascii="Garamond" w:hAnsi="Garamond"/>
          <w:color w:val="000000"/>
          <w:sz w:val="22"/>
          <w:szCs w:val="22"/>
          <w:lang w:val="hu-HU"/>
        </w:rPr>
        <w:t>beszámolón</w:t>
      </w:r>
      <w:r w:rsidRPr="00C72CC1">
        <w:rPr>
          <w:rFonts w:ascii="Garamond" w:hAnsi="Garamond"/>
          <w:color w:val="000000"/>
          <w:sz w:val="22"/>
          <w:szCs w:val="22"/>
          <w:lang w:val="hu-HU"/>
        </w:rPr>
        <w:t xml:space="preserve"> kívül egyéb igazolás benyújtása nem szükséges. A </w:t>
      </w:r>
      <w:r w:rsidR="00754916">
        <w:rPr>
          <w:rFonts w:ascii="Garamond" w:hAnsi="Garamond"/>
          <w:color w:val="000000"/>
          <w:sz w:val="22"/>
          <w:szCs w:val="22"/>
          <w:lang w:val="hu-HU"/>
        </w:rPr>
        <w:t>beszámoló</w:t>
      </w:r>
      <w:r w:rsidRPr="00C72CC1">
        <w:rPr>
          <w:rFonts w:ascii="Garamond" w:hAnsi="Garamond"/>
          <w:color w:val="000000"/>
          <w:sz w:val="22"/>
          <w:szCs w:val="22"/>
          <w:lang w:val="hu-HU"/>
        </w:rPr>
        <w:t xml:space="preserve"> tartalmazza a pályázó által elvégzett köz</w:t>
      </w:r>
      <w:r w:rsidR="00006513">
        <w:rPr>
          <w:rFonts w:ascii="Garamond" w:hAnsi="Garamond"/>
          <w:color w:val="000000"/>
          <w:sz w:val="22"/>
          <w:szCs w:val="22"/>
          <w:lang w:val="hu-HU"/>
        </w:rPr>
        <w:t xml:space="preserve">életi </w:t>
      </w:r>
      <w:r w:rsidRPr="00C72CC1">
        <w:rPr>
          <w:rFonts w:ascii="Garamond" w:hAnsi="Garamond"/>
          <w:color w:val="000000"/>
          <w:sz w:val="22"/>
          <w:szCs w:val="22"/>
          <w:lang w:val="hu-HU"/>
        </w:rPr>
        <w:t>munka elbírálásra alkalmas részletességű leírását.</w:t>
      </w:r>
    </w:p>
    <w:p w:rsidR="006E4EBE" w:rsidRPr="00980288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b/>
          <w:bCs/>
          <w:color w:val="000000"/>
          <w:sz w:val="22"/>
          <w:szCs w:val="22"/>
        </w:rPr>
        <w:t>A pályázaton elnyerhető ösztöndíj</w:t>
      </w:r>
    </w:p>
    <w:p w:rsidR="004E070E" w:rsidRDefault="00B040F8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000000"/>
          <w:sz w:val="22"/>
          <w:szCs w:val="22"/>
        </w:rPr>
      </w:pPr>
      <w:r w:rsidRPr="00C72CC1">
        <w:rPr>
          <w:rFonts w:ascii="Garamond" w:eastAsiaTheme="minorHAnsi" w:hAnsi="Garamond"/>
          <w:bCs/>
          <w:sz w:val="22"/>
          <w:szCs w:val="22"/>
        </w:rPr>
        <w:t xml:space="preserve">A pályázat elnyeréséhez szükséges </w:t>
      </w:r>
      <w:proofErr w:type="gramStart"/>
      <w:r w:rsidRPr="00C72CC1">
        <w:rPr>
          <w:rFonts w:ascii="Garamond" w:eastAsiaTheme="minorHAnsi" w:hAnsi="Garamond"/>
          <w:bCs/>
          <w:sz w:val="22"/>
          <w:szCs w:val="22"/>
        </w:rPr>
        <w:t>minimálisan</w:t>
      </w:r>
      <w:proofErr w:type="gramEnd"/>
      <w:r w:rsidRPr="00C72CC1">
        <w:rPr>
          <w:rFonts w:ascii="Garamond" w:eastAsiaTheme="minorHAnsi" w:hAnsi="Garamond"/>
          <w:bCs/>
          <w:sz w:val="22"/>
          <w:szCs w:val="22"/>
        </w:rPr>
        <w:t xml:space="preserve"> elérendő pontszámot</w:t>
      </w:r>
      <w:r>
        <w:rPr>
          <w:rFonts w:ascii="Garamond" w:eastAsiaTheme="minorHAnsi" w:hAnsi="Garamond"/>
          <w:bCs/>
          <w:sz w:val="22"/>
          <w:szCs w:val="22"/>
        </w:rPr>
        <w:t>,</w:t>
      </w:r>
      <w:r w:rsidRPr="00C72CC1">
        <w:rPr>
          <w:rFonts w:ascii="Garamond" w:eastAsiaTheme="minorHAnsi" w:hAnsi="Garamond"/>
          <w:bCs/>
          <w:sz w:val="22"/>
          <w:szCs w:val="22"/>
        </w:rPr>
        <w:t xml:space="preserve"> </w:t>
      </w:r>
      <w:r>
        <w:rPr>
          <w:rFonts w:ascii="Garamond" w:hAnsi="Garamond" w:cs="Helvetica"/>
          <w:color w:val="000000"/>
          <w:sz w:val="22"/>
          <w:szCs w:val="22"/>
        </w:rPr>
        <w:t>a</w:t>
      </w:r>
      <w:r w:rsidR="006E4EBE" w:rsidRPr="00980288">
        <w:rPr>
          <w:rFonts w:ascii="Garamond" w:hAnsi="Garamond" w:cs="Helvetica"/>
          <w:color w:val="000000"/>
          <w:sz w:val="22"/>
          <w:szCs w:val="22"/>
        </w:rPr>
        <w:t>z elnyert ösztöndíj nagyságát a beérkezett pályázatok, és a rendelkezésre álló keretösszeg alapján a VIK HK állapítja meg a VIK HK elnöke és alelnöke(i) javaslatára, az előre meghatározott keretek figyelembevételével.</w:t>
      </w:r>
    </w:p>
    <w:p w:rsidR="006E4EBE" w:rsidRPr="00980288" w:rsidRDefault="006E4EBE" w:rsidP="004E070E">
      <w:pPr>
        <w:pStyle w:val="NormlWeb"/>
        <w:shd w:val="clear" w:color="auto" w:fill="FFFFFF"/>
        <w:spacing w:before="0" w:beforeAutospacing="0" w:after="12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color w:val="000000"/>
          <w:sz w:val="22"/>
          <w:szCs w:val="22"/>
        </w:rPr>
        <w:t>A juttatások kifizetése egyszeri ösztöndíj formájában történik az elbírálást követő, a hallgatói normatíva terhére folyósított juttatások kifizetési időpontjainak ütemezésében meghatározott időpontban.</w:t>
      </w:r>
    </w:p>
    <w:p w:rsidR="006E4EBE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b/>
          <w:bCs/>
          <w:color w:val="000000"/>
          <w:sz w:val="22"/>
          <w:szCs w:val="22"/>
        </w:rPr>
      </w:pPr>
      <w:r w:rsidRPr="00980288">
        <w:rPr>
          <w:rFonts w:ascii="Garamond" w:hAnsi="Garamond" w:cs="Helvetica"/>
          <w:b/>
          <w:bCs/>
          <w:color w:val="000000"/>
          <w:sz w:val="22"/>
          <w:szCs w:val="22"/>
        </w:rPr>
        <w:t>Határidők</w:t>
      </w: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2978"/>
        <w:gridCol w:w="1134"/>
        <w:gridCol w:w="1130"/>
        <w:gridCol w:w="1134"/>
        <w:gridCol w:w="1123"/>
      </w:tblGrid>
      <w:tr w:rsidR="00006513" w:rsidRPr="00C72CC1" w:rsidTr="00006513">
        <w:trPr>
          <w:trHeight w:val="6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proofErr w:type="spellStart"/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Srsz</w:t>
            </w:r>
            <w:proofErr w:type="spellEnd"/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A pályázat által vizsgált időtartam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212121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212121"/>
                <w:sz w:val="22"/>
                <w:szCs w:val="22"/>
                <w:lang w:val="hu-HU"/>
              </w:rPr>
              <w:t>Leadási határidő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212121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212121"/>
                <w:sz w:val="22"/>
                <w:szCs w:val="22"/>
                <w:lang w:val="hu-HU"/>
              </w:rPr>
              <w:t>Felszólalás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Döntés közzététele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Kifizetés időpontja</w:t>
            </w:r>
          </w:p>
        </w:tc>
      </w:tr>
      <w:tr w:rsidR="00006513" w:rsidRPr="00C72CC1" w:rsidTr="0000651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1. időszak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június 1. – július 31.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2018.08.22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2018.08.29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2018.08.31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2018.09.20</w:t>
            </w:r>
          </w:p>
        </w:tc>
      </w:tr>
      <w:tr w:rsidR="00006513" w:rsidRPr="00C72CC1" w:rsidTr="0000651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2. időszak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augusztus 1. – augusztus 31.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2018.09.08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2018.09.15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2018.09.17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2018.10.10</w:t>
            </w:r>
          </w:p>
        </w:tc>
      </w:tr>
      <w:tr w:rsidR="00006513" w:rsidRPr="00C72CC1" w:rsidTr="0000651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3. időszak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szeptember 1. – szeptember 30.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2018.10.04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2018.10.11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2018.10.13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2018.11.09</w:t>
            </w:r>
          </w:p>
        </w:tc>
      </w:tr>
      <w:tr w:rsidR="00006513" w:rsidRPr="00C72CC1" w:rsidTr="0000651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4. időszak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 xml:space="preserve">október 1. – október 31.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2018.11.08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2018.11.15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2018.11.17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2018.12.10</w:t>
            </w:r>
          </w:p>
        </w:tc>
      </w:tr>
      <w:tr w:rsidR="00006513" w:rsidRPr="00C72CC1" w:rsidTr="0000651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5. időszak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november 1. – november 30.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2018.12.21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2019.01.02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2019.01.04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2019.01.25</w:t>
            </w:r>
          </w:p>
        </w:tc>
      </w:tr>
      <w:tr w:rsidR="00006513" w:rsidRPr="00C72CC1" w:rsidTr="00006513">
        <w:trPr>
          <w:trHeight w:val="6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proofErr w:type="spellStart"/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Srsz</w:t>
            </w:r>
            <w:proofErr w:type="spellEnd"/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A pályázat által vizsgált időtartam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212121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212121"/>
                <w:sz w:val="22"/>
                <w:szCs w:val="22"/>
                <w:lang w:val="hu-HU"/>
              </w:rPr>
              <w:t>Leadási határidő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212121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212121"/>
                <w:sz w:val="22"/>
                <w:szCs w:val="22"/>
                <w:lang w:val="hu-HU"/>
              </w:rPr>
              <w:t>Felszólalás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Döntés közzététele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Kifizetés időpontja</w:t>
            </w:r>
          </w:p>
        </w:tc>
      </w:tr>
      <w:tr w:rsidR="00006513" w:rsidRPr="00C72CC1" w:rsidTr="0000651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1. időszak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december 1. – december 31.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2019.01.16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2019.01.23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2019.01.25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2019.02.15</w:t>
            </w:r>
          </w:p>
        </w:tc>
      </w:tr>
      <w:tr w:rsidR="00006513" w:rsidRPr="00C72CC1" w:rsidTr="0000651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2. időszak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január 1. – január 31.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2019.02.06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2019.02.13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2019.02.15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2019.03.08</w:t>
            </w:r>
          </w:p>
        </w:tc>
      </w:tr>
      <w:tr w:rsidR="00006513" w:rsidRPr="00C72CC1" w:rsidTr="0000651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3. időszak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február 1. – február 28.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2019.03.09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2019.03.16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2019.03.18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2019.04.10</w:t>
            </w:r>
          </w:p>
        </w:tc>
      </w:tr>
      <w:tr w:rsidR="00006513" w:rsidRPr="00C72CC1" w:rsidTr="0000651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4. időszak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március 1. – március 31.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2019.04.05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2019.04.12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2019.04.14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2019.05.10</w:t>
            </w:r>
          </w:p>
        </w:tc>
      </w:tr>
      <w:tr w:rsidR="00006513" w:rsidRPr="00C72CC1" w:rsidTr="0000651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5. időszak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április 1. – április 30.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2019.05.08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2019.05.15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2019.05.17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2019.06.07</w:t>
            </w:r>
          </w:p>
        </w:tc>
      </w:tr>
      <w:tr w:rsidR="00006513" w:rsidRPr="00C72CC1" w:rsidTr="0000651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6. időszak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 xml:space="preserve">május 1. – május 31.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2019.06.08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2019.06.15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2019.06.17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06513" w:rsidRPr="00C72CC1" w:rsidRDefault="00006513" w:rsidP="00C40968">
            <w:pPr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  <w:lang w:val="hu-HU"/>
              </w:rPr>
            </w:pPr>
            <w:r w:rsidRPr="00C72CC1">
              <w:rPr>
                <w:rFonts w:ascii="Garamond" w:hAnsi="Garamond"/>
                <w:color w:val="000000"/>
                <w:sz w:val="22"/>
                <w:szCs w:val="22"/>
                <w:lang w:val="hu-HU"/>
              </w:rPr>
              <w:t>2019.07.10</w:t>
            </w:r>
          </w:p>
        </w:tc>
      </w:tr>
    </w:tbl>
    <w:p w:rsidR="00B040F8" w:rsidRPr="00980288" w:rsidRDefault="00B040F8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</w:p>
    <w:p w:rsidR="006E4EBE" w:rsidRPr="00980288" w:rsidRDefault="006E4EBE" w:rsidP="004E070E">
      <w:pPr>
        <w:pStyle w:val="NormlWeb"/>
        <w:shd w:val="clear" w:color="auto" w:fill="FFFFFF"/>
        <w:spacing w:before="0" w:beforeAutospacing="0" w:after="12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color w:val="000000"/>
          <w:sz w:val="22"/>
          <w:szCs w:val="22"/>
        </w:rPr>
        <w:t>A pályázaton mindig az aktuális beszámolási időszakban végzett tevékenység vehető figyelembe. A nem a kiírás szerint</w:t>
      </w:r>
      <w:r w:rsidR="00B040F8">
        <w:rPr>
          <w:rFonts w:ascii="Garamond" w:hAnsi="Garamond" w:cs="Helvetica"/>
          <w:color w:val="000000"/>
          <w:sz w:val="22"/>
          <w:szCs w:val="22"/>
        </w:rPr>
        <w:t>,</w:t>
      </w:r>
      <w:r w:rsidRPr="00980288">
        <w:rPr>
          <w:rFonts w:ascii="Garamond" w:hAnsi="Garamond" w:cs="Helvetica"/>
          <w:color w:val="000000"/>
          <w:sz w:val="22"/>
          <w:szCs w:val="22"/>
        </w:rPr>
        <w:t xml:space="preserve"> vagy a pályázat határidejének lejárta után benyújtott pályázat érvénytelennek minősül és elutasításra kerül. A pályázat keretében hiánypótlásra nincs mód, a benyújtott pályázat hiánytalanságáért a pályázó felel.</w:t>
      </w:r>
    </w:p>
    <w:p w:rsidR="006E4EBE" w:rsidRPr="00980288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b/>
          <w:bCs/>
          <w:color w:val="000000"/>
          <w:sz w:val="22"/>
          <w:szCs w:val="22"/>
        </w:rPr>
        <w:t>Eredmény</w:t>
      </w:r>
    </w:p>
    <w:p w:rsidR="006E4EBE" w:rsidRPr="004E070E" w:rsidRDefault="00006513" w:rsidP="004E070E">
      <w:pPr>
        <w:spacing w:after="120" w:line="276" w:lineRule="auto"/>
        <w:jc w:val="both"/>
        <w:rPr>
          <w:rFonts w:ascii="Garamond" w:eastAsiaTheme="minorHAnsi" w:hAnsi="Garamond"/>
          <w:bCs/>
          <w:sz w:val="22"/>
          <w:szCs w:val="22"/>
          <w:lang w:val="hu-HU"/>
        </w:rPr>
      </w:pPr>
      <w:r w:rsidRPr="00462DB0">
        <w:rPr>
          <w:rFonts w:ascii="Garamond" w:eastAsiaTheme="minorHAnsi" w:hAnsi="Garamond"/>
          <w:bCs/>
          <w:sz w:val="22"/>
          <w:szCs w:val="22"/>
          <w:lang w:val="hu-HU"/>
        </w:rPr>
        <w:t xml:space="preserve">Az eredményt a </w:t>
      </w:r>
      <w:r>
        <w:rPr>
          <w:rFonts w:ascii="Garamond" w:eastAsiaTheme="minorHAnsi" w:hAnsi="Garamond"/>
          <w:bCs/>
          <w:sz w:val="22"/>
          <w:szCs w:val="22"/>
          <w:lang w:val="hu-HU"/>
        </w:rPr>
        <w:t>VI</w:t>
      </w:r>
      <w:r w:rsidRPr="00462DB0">
        <w:rPr>
          <w:rFonts w:ascii="Garamond" w:eastAsiaTheme="minorHAnsi" w:hAnsi="Garamond"/>
          <w:bCs/>
          <w:sz w:val="22"/>
          <w:szCs w:val="22"/>
          <w:lang w:val="hu-HU"/>
        </w:rPr>
        <w:t xml:space="preserve">K HK a Határidők részben megjelölt időpontig, a saját honlapján </w:t>
      </w:r>
      <w:r w:rsidRPr="000924CE">
        <w:rPr>
          <w:rFonts w:ascii="Garamond" w:eastAsiaTheme="minorHAnsi" w:hAnsi="Garamond"/>
          <w:bCs/>
          <w:sz w:val="22"/>
          <w:szCs w:val="22"/>
          <w:lang w:val="hu-HU"/>
        </w:rPr>
        <w:t>(</w:t>
      </w:r>
      <w:r w:rsidR="004E070E">
        <w:rPr>
          <w:rFonts w:ascii="Garamond" w:eastAsiaTheme="minorHAnsi" w:hAnsi="Garamond"/>
          <w:bCs/>
          <w:sz w:val="22"/>
          <w:szCs w:val="22"/>
          <w:lang w:val="hu-HU"/>
        </w:rPr>
        <w:t>http://vik.hk</w:t>
      </w:r>
      <w:r w:rsidRPr="000924CE">
        <w:rPr>
          <w:rFonts w:ascii="Garamond" w:eastAsiaTheme="minorHAnsi" w:hAnsi="Garamond"/>
          <w:bCs/>
          <w:sz w:val="22"/>
          <w:szCs w:val="22"/>
          <w:lang w:val="hu-HU"/>
        </w:rPr>
        <w:t>)</w:t>
      </w:r>
      <w:r>
        <w:rPr>
          <w:rFonts w:ascii="Garamond" w:eastAsiaTheme="minorHAnsi" w:hAnsi="Garamond"/>
          <w:bCs/>
          <w:sz w:val="22"/>
          <w:szCs w:val="22"/>
          <w:lang w:val="hu-HU"/>
        </w:rPr>
        <w:t xml:space="preserve"> </w:t>
      </w:r>
      <w:r w:rsidRPr="00462DB0">
        <w:rPr>
          <w:rFonts w:ascii="Garamond" w:eastAsiaTheme="minorHAnsi" w:hAnsi="Garamond"/>
          <w:bCs/>
          <w:sz w:val="22"/>
          <w:szCs w:val="22"/>
          <w:lang w:val="hu-HU"/>
        </w:rPr>
        <w:t>hozza nyilvánosságra, az írásos beszámolók és a megítélt összegek közzétételével.</w:t>
      </w:r>
    </w:p>
    <w:p w:rsidR="006E4EBE" w:rsidRPr="00980288" w:rsidRDefault="006E4EBE" w:rsidP="009802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b/>
          <w:bCs/>
          <w:color w:val="000000"/>
          <w:sz w:val="22"/>
          <w:szCs w:val="22"/>
        </w:rPr>
        <w:t>Adatvédelem</w:t>
      </w:r>
    </w:p>
    <w:p w:rsidR="006E4EBE" w:rsidRPr="00980288" w:rsidRDefault="006E4EBE" w:rsidP="004E070E">
      <w:pPr>
        <w:pStyle w:val="NormlWeb"/>
        <w:shd w:val="clear" w:color="auto" w:fill="FFFFFF"/>
        <w:spacing w:before="0" w:beforeAutospacing="0" w:after="120" w:afterAutospacing="0" w:line="276" w:lineRule="auto"/>
        <w:jc w:val="both"/>
        <w:rPr>
          <w:rFonts w:ascii="Garamond" w:hAnsi="Garamond" w:cs="Helvetica"/>
          <w:color w:val="333333"/>
          <w:sz w:val="22"/>
          <w:szCs w:val="22"/>
        </w:rPr>
      </w:pPr>
      <w:r w:rsidRPr="00980288">
        <w:rPr>
          <w:rFonts w:ascii="Garamond" w:hAnsi="Garamond" w:cs="Helvetica"/>
          <w:color w:val="000000"/>
          <w:sz w:val="22"/>
          <w:szCs w:val="22"/>
        </w:rPr>
        <w:t>A TJSZ 33. § (6) és (7) bekezdései alapján a VIK HK az ösztöndíj pályázatok elbírálásához szükséges adatokat a hatályos adatvédelmi szabályoknak megfelelően kezeli, a mellékelt tájékoztató szerint. A pályázó a pályázat leadásával beleegyezik személyes adatai mellékelt tájékoztató szerinti kezelésébe.</w:t>
      </w:r>
    </w:p>
    <w:p w:rsidR="00B040F8" w:rsidRPr="00C72CC1" w:rsidRDefault="00B040F8" w:rsidP="00B040F8">
      <w:pPr>
        <w:spacing w:line="276" w:lineRule="auto"/>
        <w:jc w:val="both"/>
        <w:rPr>
          <w:rFonts w:ascii="Garamond" w:hAnsi="Garamond"/>
          <w:b/>
          <w:sz w:val="22"/>
          <w:szCs w:val="22"/>
          <w:lang w:val="hu-HU"/>
        </w:rPr>
      </w:pPr>
      <w:r w:rsidRPr="00C72CC1">
        <w:rPr>
          <w:rFonts w:ascii="Garamond" w:hAnsi="Garamond"/>
          <w:b/>
          <w:sz w:val="22"/>
          <w:szCs w:val="22"/>
          <w:lang w:val="hu-HU"/>
        </w:rPr>
        <w:lastRenderedPageBreak/>
        <w:t>Felszólalás, jogorvoslat</w:t>
      </w:r>
    </w:p>
    <w:p w:rsidR="00006513" w:rsidRPr="000E6C44" w:rsidRDefault="00006513" w:rsidP="00006513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0E6C44">
        <w:rPr>
          <w:rFonts w:ascii="Garamond" w:hAnsi="Garamond"/>
          <w:sz w:val="22"/>
          <w:szCs w:val="22"/>
          <w:lang w:val="hu-HU"/>
        </w:rPr>
        <w:t>A hallgató a</w:t>
      </w:r>
      <w:r>
        <w:rPr>
          <w:rFonts w:ascii="Garamond" w:hAnsi="Garamond"/>
          <w:sz w:val="22"/>
          <w:szCs w:val="22"/>
          <w:lang w:val="hu-HU"/>
        </w:rPr>
        <w:t xml:space="preserve"> pályázat</w:t>
      </w:r>
      <w:r w:rsidRPr="000E6C44">
        <w:rPr>
          <w:rFonts w:ascii="Garamond" w:hAnsi="Garamond"/>
          <w:sz w:val="22"/>
          <w:szCs w:val="22"/>
          <w:lang w:val="hu-HU"/>
        </w:rPr>
        <w:t xml:space="preserve"> elbírálásának eredménye ellen – a közléstől, ennek hiányában a tudomására jutásától számított </w:t>
      </w:r>
      <w:r>
        <w:rPr>
          <w:rFonts w:ascii="Garamond" w:hAnsi="Garamond"/>
          <w:sz w:val="22"/>
          <w:szCs w:val="22"/>
          <w:lang w:val="hu-HU"/>
        </w:rPr>
        <w:t xml:space="preserve">15 </w:t>
      </w:r>
      <w:r w:rsidRPr="000E6C44">
        <w:rPr>
          <w:rFonts w:ascii="Garamond" w:hAnsi="Garamond"/>
          <w:sz w:val="22"/>
          <w:szCs w:val="22"/>
          <w:lang w:val="hu-HU"/>
        </w:rPr>
        <w:t xml:space="preserve">napon belül – a Hallgatói Jogorvoslati Bizottságnál jogorvoslattal élhet, a </w:t>
      </w:r>
      <w:proofErr w:type="spellStart"/>
      <w:r w:rsidRPr="000E6C44">
        <w:rPr>
          <w:rFonts w:ascii="Garamond" w:hAnsi="Garamond"/>
          <w:sz w:val="22"/>
          <w:szCs w:val="22"/>
          <w:lang w:val="hu-HU"/>
        </w:rPr>
        <w:t>Neptun</w:t>
      </w:r>
      <w:proofErr w:type="spellEnd"/>
      <w:r w:rsidRPr="000E6C44">
        <w:rPr>
          <w:rFonts w:ascii="Garamond" w:hAnsi="Garamond"/>
          <w:sz w:val="22"/>
          <w:szCs w:val="22"/>
          <w:lang w:val="hu-HU"/>
        </w:rPr>
        <w:t xml:space="preserve"> rendszerben elérhető 001-es számú kérvény leadásával.</w:t>
      </w:r>
    </w:p>
    <w:p w:rsidR="0063511F" w:rsidRDefault="0063511F" w:rsidP="00980288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bookmarkStart w:id="0" w:name="_GoBack"/>
      <w:bookmarkEnd w:id="0"/>
    </w:p>
    <w:p w:rsidR="00B040F8" w:rsidRPr="00980288" w:rsidRDefault="00B040F8" w:rsidP="00980288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C72CC1">
        <w:rPr>
          <w:rFonts w:ascii="Garamond" w:eastAsiaTheme="minorHAnsi" w:hAnsi="Garamond"/>
          <w:bCs/>
          <w:sz w:val="22"/>
          <w:szCs w:val="22"/>
          <w:lang w:val="hu-HU"/>
        </w:rPr>
        <w:fldChar w:fldCharType="begin"/>
      </w:r>
      <w:r w:rsidRPr="00C72CC1">
        <w:rPr>
          <w:rFonts w:ascii="Garamond" w:eastAsiaTheme="minorHAnsi" w:hAnsi="Garamond"/>
          <w:bCs/>
          <w:sz w:val="22"/>
          <w:szCs w:val="22"/>
          <w:lang w:val="hu-HU"/>
        </w:rPr>
        <w:instrText xml:space="preserve"> TIME \@ "yyyy. MMMM d." </w:instrText>
      </w:r>
      <w:r w:rsidRPr="00C72CC1">
        <w:rPr>
          <w:rFonts w:ascii="Garamond" w:eastAsiaTheme="minorHAnsi" w:hAnsi="Garamond"/>
          <w:bCs/>
          <w:sz w:val="22"/>
          <w:szCs w:val="22"/>
          <w:lang w:val="hu-HU"/>
        </w:rPr>
        <w:fldChar w:fldCharType="separate"/>
      </w:r>
      <w:r w:rsidR="004E070E">
        <w:rPr>
          <w:rFonts w:ascii="Garamond" w:eastAsiaTheme="minorHAnsi" w:hAnsi="Garamond"/>
          <w:bCs/>
          <w:noProof/>
          <w:sz w:val="22"/>
          <w:szCs w:val="22"/>
          <w:lang w:val="hu-HU"/>
        </w:rPr>
        <w:t>2018. szeptember 30.</w:t>
      </w:r>
      <w:r w:rsidRPr="00C72CC1">
        <w:rPr>
          <w:rFonts w:ascii="Garamond" w:eastAsiaTheme="minorHAnsi" w:hAnsi="Garamond"/>
          <w:bCs/>
          <w:sz w:val="22"/>
          <w:szCs w:val="22"/>
          <w:lang w:val="hu-HU"/>
        </w:rPr>
        <w:fldChar w:fldCharType="end"/>
      </w:r>
    </w:p>
    <w:p w:rsidR="00B040F8" w:rsidRDefault="00B25E4A" w:rsidP="00FD1A03">
      <w:pPr>
        <w:tabs>
          <w:tab w:val="left" w:pos="3686"/>
        </w:tabs>
        <w:spacing w:line="276" w:lineRule="auto"/>
        <w:jc w:val="right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980288">
        <w:rPr>
          <w:rFonts w:ascii="Garamond" w:hAnsi="Garamond"/>
          <w:color w:val="000000"/>
          <w:sz w:val="22"/>
          <w:szCs w:val="22"/>
          <w:lang w:val="hu-HU" w:eastAsia="hu-HU"/>
        </w:rPr>
        <w:tab/>
        <w:t xml:space="preserve">Villamosmérnöki és Informatikai Kar </w:t>
      </w:r>
    </w:p>
    <w:p w:rsidR="00A7474C" w:rsidRPr="00980288" w:rsidRDefault="00B25E4A" w:rsidP="00FD1A03">
      <w:pPr>
        <w:tabs>
          <w:tab w:val="left" w:pos="3686"/>
        </w:tabs>
        <w:spacing w:line="276" w:lineRule="auto"/>
        <w:jc w:val="right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980288">
        <w:rPr>
          <w:rFonts w:ascii="Garamond" w:hAnsi="Garamond"/>
          <w:color w:val="000000"/>
          <w:sz w:val="22"/>
          <w:szCs w:val="22"/>
          <w:lang w:val="hu-HU" w:eastAsia="hu-HU"/>
        </w:rPr>
        <w:t>Hallgatói Képviselet</w:t>
      </w:r>
    </w:p>
    <w:sectPr w:rsidR="00A7474C" w:rsidRPr="00980288" w:rsidSect="00980288">
      <w:headerReference w:type="default" r:id="rId8"/>
      <w:footerReference w:type="default" r:id="rId9"/>
      <w:pgSz w:w="11906" w:h="16838"/>
      <w:pgMar w:top="1134" w:right="1134" w:bottom="1134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2B2" w:rsidRDefault="00DA42B2" w:rsidP="00835A28">
      <w:r>
        <w:separator/>
      </w:r>
    </w:p>
  </w:endnote>
  <w:endnote w:type="continuationSeparator" w:id="0">
    <w:p w:rsidR="00DA42B2" w:rsidRDefault="00DA42B2" w:rsidP="0083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28" w:rsidRDefault="00835A28" w:rsidP="00835A28">
    <w:pPr>
      <w:pStyle w:val="llb"/>
      <w:pBdr>
        <w:bottom w:val="single" w:sz="6" w:space="1" w:color="auto"/>
      </w:pBdr>
    </w:pPr>
  </w:p>
  <w:p w:rsidR="00B040F8" w:rsidRDefault="00B040F8" w:rsidP="00835A28">
    <w:pPr>
      <w:pStyle w:val="llb"/>
    </w:pPr>
    <w:r w:rsidRPr="00B040F8">
      <w:rPr>
        <w:noProof/>
        <w:lang w:eastAsia="hu-HU"/>
      </w:rPr>
      <w:drawing>
        <wp:inline distT="0" distB="0" distL="0" distR="0">
          <wp:extent cx="6120130" cy="487373"/>
          <wp:effectExtent l="0" t="0" r="0" b="825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2B2" w:rsidRDefault="00DA42B2" w:rsidP="00835A28">
      <w:r>
        <w:separator/>
      </w:r>
    </w:p>
  </w:footnote>
  <w:footnote w:type="continuationSeparator" w:id="0">
    <w:p w:rsidR="00DA42B2" w:rsidRDefault="00DA42B2" w:rsidP="0083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  <w:pBdr>
        <w:bottom w:val="single" w:sz="6" w:space="1" w:color="auto"/>
      </w:pBdr>
    </w:pPr>
  </w:p>
  <w:p w:rsidR="00980288" w:rsidRDefault="0098028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2FE7"/>
    <w:multiLevelType w:val="multilevel"/>
    <w:tmpl w:val="BF688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61617C"/>
    <w:multiLevelType w:val="multilevel"/>
    <w:tmpl w:val="2F44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D5208"/>
    <w:multiLevelType w:val="multilevel"/>
    <w:tmpl w:val="A34C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07EEE"/>
    <w:multiLevelType w:val="multilevel"/>
    <w:tmpl w:val="740A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60F5F"/>
    <w:multiLevelType w:val="multilevel"/>
    <w:tmpl w:val="8DFE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E073C"/>
    <w:multiLevelType w:val="hybridMultilevel"/>
    <w:tmpl w:val="E3AA83D0"/>
    <w:lvl w:ilvl="0" w:tplc="7E46E87E">
      <w:start w:val="1"/>
      <w:numFmt w:val="decimal"/>
      <w:lvlText w:val="%1."/>
      <w:lvlJc w:val="left"/>
      <w:pPr>
        <w:ind w:left="388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4608" w:hanging="360"/>
      </w:pPr>
    </w:lvl>
    <w:lvl w:ilvl="2" w:tplc="040E001B" w:tentative="1">
      <w:start w:val="1"/>
      <w:numFmt w:val="lowerRoman"/>
      <w:lvlText w:val="%3."/>
      <w:lvlJc w:val="right"/>
      <w:pPr>
        <w:ind w:left="5328" w:hanging="180"/>
      </w:pPr>
    </w:lvl>
    <w:lvl w:ilvl="3" w:tplc="040E000F" w:tentative="1">
      <w:start w:val="1"/>
      <w:numFmt w:val="decimal"/>
      <w:lvlText w:val="%4."/>
      <w:lvlJc w:val="left"/>
      <w:pPr>
        <w:ind w:left="6048" w:hanging="360"/>
      </w:pPr>
    </w:lvl>
    <w:lvl w:ilvl="4" w:tplc="040E0019" w:tentative="1">
      <w:start w:val="1"/>
      <w:numFmt w:val="lowerLetter"/>
      <w:lvlText w:val="%5."/>
      <w:lvlJc w:val="left"/>
      <w:pPr>
        <w:ind w:left="6768" w:hanging="360"/>
      </w:pPr>
    </w:lvl>
    <w:lvl w:ilvl="5" w:tplc="040E001B" w:tentative="1">
      <w:start w:val="1"/>
      <w:numFmt w:val="lowerRoman"/>
      <w:lvlText w:val="%6."/>
      <w:lvlJc w:val="right"/>
      <w:pPr>
        <w:ind w:left="7488" w:hanging="180"/>
      </w:pPr>
    </w:lvl>
    <w:lvl w:ilvl="6" w:tplc="040E000F" w:tentative="1">
      <w:start w:val="1"/>
      <w:numFmt w:val="decimal"/>
      <w:lvlText w:val="%7."/>
      <w:lvlJc w:val="left"/>
      <w:pPr>
        <w:ind w:left="8208" w:hanging="360"/>
      </w:pPr>
    </w:lvl>
    <w:lvl w:ilvl="7" w:tplc="040E0019" w:tentative="1">
      <w:start w:val="1"/>
      <w:numFmt w:val="lowerLetter"/>
      <w:lvlText w:val="%8."/>
      <w:lvlJc w:val="left"/>
      <w:pPr>
        <w:ind w:left="8928" w:hanging="360"/>
      </w:pPr>
    </w:lvl>
    <w:lvl w:ilvl="8" w:tplc="040E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6" w15:restartNumberingAfterBreak="0">
    <w:nsid w:val="5F2B35E4"/>
    <w:multiLevelType w:val="multilevel"/>
    <w:tmpl w:val="558C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C7377"/>
    <w:multiLevelType w:val="multilevel"/>
    <w:tmpl w:val="E9E4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680E41"/>
    <w:multiLevelType w:val="multilevel"/>
    <w:tmpl w:val="0BE8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006513"/>
    <w:rsid w:val="002D5132"/>
    <w:rsid w:val="0038369C"/>
    <w:rsid w:val="003D2A5F"/>
    <w:rsid w:val="004E070E"/>
    <w:rsid w:val="0053601A"/>
    <w:rsid w:val="00571FC0"/>
    <w:rsid w:val="0058083A"/>
    <w:rsid w:val="005D1889"/>
    <w:rsid w:val="0063511F"/>
    <w:rsid w:val="0064508B"/>
    <w:rsid w:val="0065135F"/>
    <w:rsid w:val="006E4EBE"/>
    <w:rsid w:val="00754916"/>
    <w:rsid w:val="007B40AA"/>
    <w:rsid w:val="007C518C"/>
    <w:rsid w:val="00835A28"/>
    <w:rsid w:val="00856BAC"/>
    <w:rsid w:val="00884E53"/>
    <w:rsid w:val="00914E3B"/>
    <w:rsid w:val="00921B81"/>
    <w:rsid w:val="00923984"/>
    <w:rsid w:val="00980288"/>
    <w:rsid w:val="009F7F80"/>
    <w:rsid w:val="00A16817"/>
    <w:rsid w:val="00A24190"/>
    <w:rsid w:val="00A40D57"/>
    <w:rsid w:val="00A54046"/>
    <w:rsid w:val="00A7474C"/>
    <w:rsid w:val="00A9670A"/>
    <w:rsid w:val="00B040F8"/>
    <w:rsid w:val="00B25E4A"/>
    <w:rsid w:val="00B532DC"/>
    <w:rsid w:val="00BE29F1"/>
    <w:rsid w:val="00C80A46"/>
    <w:rsid w:val="00CA21AD"/>
    <w:rsid w:val="00CC3FE8"/>
    <w:rsid w:val="00D0014D"/>
    <w:rsid w:val="00D04C3E"/>
    <w:rsid w:val="00D5315B"/>
    <w:rsid w:val="00D83AA3"/>
    <w:rsid w:val="00DA42B2"/>
    <w:rsid w:val="00DD76CB"/>
    <w:rsid w:val="00E12157"/>
    <w:rsid w:val="00E37B09"/>
    <w:rsid w:val="00E428C2"/>
    <w:rsid w:val="00EB70D6"/>
    <w:rsid w:val="00F21F31"/>
    <w:rsid w:val="00F92055"/>
    <w:rsid w:val="00FD1A03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81B60E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6351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511F"/>
    <w:rPr>
      <w:rFonts w:ascii="Calibri" w:eastAsia="Calibri" w:hAnsi="Calibr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511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511F"/>
    <w:rPr>
      <w:vertAlign w:val="superscript"/>
    </w:rPr>
  </w:style>
  <w:style w:type="paragraph" w:styleId="NormlWeb">
    <w:name w:val="Normal (Web)"/>
    <w:basedOn w:val="Norml"/>
    <w:uiPriority w:val="99"/>
    <w:unhideWhenUsed/>
    <w:rsid w:val="006E4EBE"/>
    <w:pPr>
      <w:spacing w:before="100" w:beforeAutospacing="1" w:after="100" w:afterAutospacing="1"/>
    </w:pPr>
    <w:rPr>
      <w:lang w:val="hu-HU" w:eastAsia="hu-HU"/>
    </w:rPr>
  </w:style>
  <w:style w:type="character" w:styleId="Kiemels2">
    <w:name w:val="Strong"/>
    <w:basedOn w:val="Bekezdsalapbettpusa"/>
    <w:uiPriority w:val="22"/>
    <w:qFormat/>
    <w:rsid w:val="006E4EBE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040F8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40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40F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2EFC0-F3CD-4CB0-8F4B-77633FCF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764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hk_joosn</cp:lastModifiedBy>
  <cp:revision>5</cp:revision>
  <dcterms:created xsi:type="dcterms:W3CDTF">2018-08-29T13:15:00Z</dcterms:created>
  <dcterms:modified xsi:type="dcterms:W3CDTF">2018-09-30T15:07:00Z</dcterms:modified>
</cp:coreProperties>
</file>