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24" w:rsidRPr="00F27445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I. FEJEZET</w:t>
      </w:r>
    </w:p>
    <w:p w:rsidR="00AC1924" w:rsidRPr="00F27445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ÁLTALÁNOS RENDELKEZÉSEK</w:t>
      </w:r>
    </w:p>
    <w:p w:rsidR="00AC1924" w:rsidRPr="00AC1924" w:rsidRDefault="00AC1924" w:rsidP="00AC1924">
      <w:pPr>
        <w:pStyle w:val="Listaszerbekezds"/>
        <w:numPr>
          <w:ilvl w:val="0"/>
          <w:numId w:val="1"/>
        </w:numPr>
        <w:pBdr>
          <w:left w:val="none" w:sz="0" w:space="11" w:color="auto"/>
          <w:right w:val="none" w:sz="0" w:space="11" w:color="auto"/>
        </w:pBdr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924"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 w:rsidRPr="00AC1924">
        <w:rPr>
          <w:rFonts w:ascii="Times New Roman" w:eastAsia="Times New Roman" w:hAnsi="Times New Roman" w:cs="Times New Roman"/>
          <w:b/>
          <w:sz w:val="28"/>
          <w:szCs w:val="28"/>
        </w:rPr>
        <w:t>felsőoktatás működésének alapelvei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924" w:rsidRP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>4. § (1) Felsőoktatási intézményt önállóan vagy más jogosulttal együttesen</w:t>
      </w:r>
    </w:p>
    <w:p w:rsidR="00AC1924" w:rsidRP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a) a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magyar állam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>, országos nemzetiségi önkormányzat,</w:t>
      </w:r>
    </w:p>
    <w:p w:rsidR="00AC1924" w:rsidRP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b) az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egyházi jogi személy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 (a továbbiakban: egyházi fenntartó),</w:t>
      </w:r>
    </w:p>
    <w:p w:rsidR="00AC1924" w:rsidRP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c) a Magyarország területén székhellyel rendelkező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gazdasági társaság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d) a Magyarországon nyilvántartásba vett alapítvány,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közalapítvány vagy vallási egyesület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>, továbbá - az e törvényben meghatározott esetben - a 95/A. § szerinti fenntartó testület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>alapíthat.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(4) Az állam nevében a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fenntartói jogokat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 - ha törvény másként nem rendelkezik - az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oktatásért felelős miniszter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 (a továbbiakban: miniszter) gyakorolja. A miniszter a fenntartói jogot megállapodással a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tudománypolitika koordinációjáért felelős miniszterre</w:t>
      </w:r>
      <w:r w:rsidRPr="00AC1924">
        <w:rPr>
          <w:rFonts w:ascii="Times New Roman" w:eastAsia="Times New Roman" w:hAnsi="Times New Roman" w:cs="Times New Roman"/>
          <w:sz w:val="24"/>
          <w:szCs w:val="24"/>
        </w:rPr>
        <w:t xml:space="preserve"> ruházhatja.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924" w:rsidRPr="00F27445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AC1924" w:rsidRPr="00F27445" w:rsidRDefault="009E3658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FELSŐOKTATÁSI INTÉZMÉNY MŰKÖDÉSE</w:t>
      </w:r>
    </w:p>
    <w:p w:rsidR="009E3658" w:rsidRPr="009E3658" w:rsidRDefault="00AC1924" w:rsidP="009E3658">
      <w:pPr>
        <w:pStyle w:val="Listaszerbekezds"/>
        <w:numPr>
          <w:ilvl w:val="0"/>
          <w:numId w:val="2"/>
        </w:numPr>
        <w:pBdr>
          <w:left w:val="none" w:sz="0" w:space="11" w:color="auto"/>
          <w:right w:val="none" w:sz="0" w:space="11" w:color="auto"/>
        </w:pBdr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9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9E3658">
        <w:rPr>
          <w:rFonts w:ascii="Times New Roman" w:eastAsia="Times New Roman" w:hAnsi="Times New Roman" w:cs="Times New Roman"/>
          <w:b/>
          <w:sz w:val="28"/>
          <w:szCs w:val="28"/>
        </w:rPr>
        <w:t>z állami elismerés</w:t>
      </w:r>
    </w:p>
    <w:p w:rsidR="00AC1924" w:rsidRDefault="00AC1924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658" w:rsidRDefault="009E3658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6. § (1) Felsőoktatási intézményként olyan szervezet hozható </w:t>
      </w:r>
      <w:proofErr w:type="gramStart"/>
      <w:r w:rsidRPr="009E3658">
        <w:rPr>
          <w:rFonts w:ascii="Times New Roman" w:eastAsia="Times New Roman" w:hAnsi="Times New Roman" w:cs="Times New Roman"/>
          <w:sz w:val="24"/>
          <w:szCs w:val="24"/>
        </w:rPr>
        <w:t>létre</w:t>
      </w:r>
      <w:proofErr w:type="gramEnd"/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illetve működhet, amelyet az e törvényben meghatározott felsőoktatási feladatok ellátására létesítettek és az </w:t>
      </w:r>
      <w:r w:rsidRPr="009E3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Országgyűléstől megkapta az állami elismerést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658" w:rsidRDefault="009E3658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658" w:rsidRPr="00F27445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9E3658" w:rsidRPr="00F27445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FELSŐOKTATÁSI INTÉZMÉNY MŰKÖDÉS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ÉNEK ALAPELVEI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A felsőoktatási intézmény felépítése</w:t>
      </w:r>
    </w:p>
    <w:p w:rsidR="009E3658" w:rsidRDefault="009E3658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658" w:rsidRDefault="009E3658" w:rsidP="00AC192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12. § (1) A felsőoktatási intézmény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vezető testülete a szenátus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Pr="00764058">
        <w:rPr>
          <w:rFonts w:ascii="Times New Roman" w:eastAsia="Times New Roman" w:hAnsi="Times New Roman" w:cs="Times New Roman"/>
          <w:sz w:val="24"/>
          <w:szCs w:val="24"/>
        </w:rPr>
        <w:t>szenátus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elnöke a rektor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(2) A szenátust illetik meg a felsőoktatási intézmény Alaptörvényben rögzített jogosultságai.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(3) A szenátus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a) határozza meg a felsőoktatási intézmény képzési és kutatási feladatait, és ellenőrzi azok végrehajtását;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b) állapítja meg saját működésének rendjét;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lastRenderedPageBreak/>
        <w:t>d)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javaslatot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tesz a rektori pályázati felhívás tartalmára,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elbírálja a rektori pályázatokat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és megválasztja a rektorjelöltet, továbbá értékeli a rektor vezetői tevékenységét;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f) határozza meg az intézményben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658">
        <w:rPr>
          <w:rFonts w:ascii="Times New Roman" w:eastAsia="Times New Roman" w:hAnsi="Times New Roman" w:cs="Times New Roman"/>
          <w:sz w:val="24"/>
          <w:szCs w:val="24"/>
        </w:rPr>
        <w:t>fb</w:t>
      </w:r>
      <w:proofErr w:type="spellEnd"/>
      <w:r w:rsidRPr="009E3658">
        <w:rPr>
          <w:rFonts w:ascii="Times New Roman" w:eastAsia="Times New Roman" w:hAnsi="Times New Roman" w:cs="Times New Roman"/>
          <w:sz w:val="24"/>
          <w:szCs w:val="24"/>
        </w:rPr>
        <w:t>) az oktatói munka hallgatói véleményezési rendszerét;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g) a fenntartó egyetértésével dönt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658">
        <w:rPr>
          <w:rFonts w:ascii="Times New Roman" w:eastAsia="Times New Roman" w:hAnsi="Times New Roman" w:cs="Times New Roman"/>
          <w:sz w:val="24"/>
          <w:szCs w:val="24"/>
        </w:rPr>
        <w:t>gb</w:t>
      </w:r>
      <w:proofErr w:type="spellEnd"/>
      <w:r w:rsidRPr="009E3658">
        <w:rPr>
          <w:rFonts w:ascii="Times New Roman" w:eastAsia="Times New Roman" w:hAnsi="Times New Roman" w:cs="Times New Roman"/>
          <w:sz w:val="24"/>
          <w:szCs w:val="24"/>
        </w:rPr>
        <w:t>) az intézmény vagyongazdálkodási tervéről,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658">
        <w:rPr>
          <w:rFonts w:ascii="Times New Roman" w:eastAsia="Times New Roman" w:hAnsi="Times New Roman" w:cs="Times New Roman"/>
          <w:sz w:val="24"/>
          <w:szCs w:val="24"/>
        </w:rPr>
        <w:t>gc</w:t>
      </w:r>
      <w:proofErr w:type="spellEnd"/>
      <w:r w:rsidRPr="009E3658">
        <w:rPr>
          <w:rFonts w:ascii="Times New Roman" w:eastAsia="Times New Roman" w:hAnsi="Times New Roman" w:cs="Times New Roman"/>
          <w:sz w:val="24"/>
          <w:szCs w:val="24"/>
        </w:rPr>
        <w:t>) gazdálkodó szervezet alapításáról, gazdálkodó szervezetben részesedés szerzéséről;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h) a szenátus dönt továbbá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he) nemzeti felsőoktatási ösztöndíj adományozásának kezdeményezéséről,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(5) Ha a szenátus által létrehozott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bizottság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, illetve tanács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hallgatókat érintő ügyek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ben is eljár, biztosítani kell, hogy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 bizottság munkájában részt </w:t>
      </w:r>
      <w:proofErr w:type="spellStart"/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vehessenek</w:t>
      </w:r>
      <w:proofErr w:type="spellEnd"/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 hallgatók képviselői is a kreditátviteli bizottság kivételével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. A szenátus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hallgatók tanulmányi, vizsga- és szociális ügyeinek intézésére állandó bizottságot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hoz létre. A hallgatókat érintő ügyekben eljáró bizottságban biztosítani kell a hallgatók részvételét, azzal a megkötéssel, hogy a tanulmányi, vizsga és szociális ügyek intézésére létrehozott állandó bizottságban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hallgatók által delegált tagok száma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nem lehet kevesebb mint a bizottság tagjainak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huszonöt százaléka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(7) Az állami felsőoktatási intézményben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szenátus tagjai - a rektor, kancellár kivételével - választás útján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nyerik el megbízatásukat. A szenátus működésével kapcsolatos minden kérdést a felsőoktatási intézmény szervezeti és működési szabályzatában kell meghatározni, a következők figyelembevételével: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a) a szenátus létszáma nem lehet kevesebb kilenc főnél, továbbá az oktatók és kutatók által választott tagoknak - az elnökkel együtt - a testület tagjainak többségét kell alkotniuk, a vezetői megbízással nem rendelkező oktatók képviseletét biztosítani kell,</w:t>
      </w:r>
    </w:p>
    <w:p w:rsidR="009E3658" w:rsidRP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b)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hallgatói önkormányzat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a 60. § (1) bekezdés b) pontjában meghatározott feltételek szerint a szenátus létszáma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húsz, legfeljebb huszonöt százalékának</w:t>
      </w:r>
      <w:r w:rsidRPr="009E3658">
        <w:rPr>
          <w:rFonts w:ascii="Times New Roman" w:eastAsia="Times New Roman" w:hAnsi="Times New Roman" w:cs="Times New Roman"/>
          <w:sz w:val="24"/>
          <w:szCs w:val="24"/>
        </w:rPr>
        <w:t xml:space="preserve"> megfelelő számban delegál képviselőt,</w:t>
      </w:r>
    </w:p>
    <w:p w:rsidR="009E3658" w:rsidRDefault="009E3658" w:rsidP="009E3658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658">
        <w:rPr>
          <w:rFonts w:ascii="Times New Roman" w:eastAsia="Times New Roman" w:hAnsi="Times New Roman" w:cs="Times New Roman"/>
          <w:sz w:val="24"/>
          <w:szCs w:val="24"/>
        </w:rPr>
        <w:t>c) a doktorandusz önkormányzat egy fő képviselőt jogosult delegálni,</w:t>
      </w:r>
    </w:p>
    <w:p w:rsidR="00674D37" w:rsidRP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e) általános szenátusi választást négyévente kell tartani, azzal, hogy</w:t>
      </w:r>
    </w:p>
    <w:p w:rsidR="00AC1924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4D37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) a szenátust négy évre választják, de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hallgatói és a doktorandusz önkormányzat képviselőjének megbízatása legfeljebb három év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 lehet,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f)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szenátus ülései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 az intézmény alkalmazottai, hallgatói számára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nyilvánosak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13. § (1)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felsőoktatási intézmény első számú felelős vezetője és képviselője a rektor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, aki eljár és dönt mindazokban az ügyekben, amelyeket jogszabály, az alapító okirat, a szervezeti és működési szabályzat, a kollektív szerződés nem utal más személy vagy testület hatáskörébe. A 13/A. § (2) bekezdés </w:t>
      </w:r>
      <w:proofErr w:type="gramStart"/>
      <w:r w:rsidRPr="00674D37">
        <w:rPr>
          <w:rFonts w:ascii="Times New Roman" w:eastAsia="Times New Roman" w:hAnsi="Times New Roman" w:cs="Times New Roman"/>
          <w:sz w:val="24"/>
          <w:szCs w:val="24"/>
        </w:rPr>
        <w:t>a)-</w:t>
      </w:r>
      <w:proofErr w:type="gramEnd"/>
      <w:r w:rsidRPr="00674D37">
        <w:rPr>
          <w:rFonts w:ascii="Times New Roman" w:eastAsia="Times New Roman" w:hAnsi="Times New Roman" w:cs="Times New Roman"/>
          <w:sz w:val="24"/>
          <w:szCs w:val="24"/>
        </w:rPr>
        <w:t>f) pontjában meghatározott feladatai tekintetében a kancellár a felsőoktatási intézmény vezetőjeként és képviselőjeként jár el. Az állami felsőoktatási intézmény rektora a kancellár döntésével vagy intézkedésével szemben, illetve intézkedésének elmulasztása esetén a fenntartóhoz intézett kifogással élhet.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Állami felsőoktatási intézményben a rektor a felsőoktatási intézmény alaptevékenységnek megfelelő működéséért felelős, ennek keretében gyakorolja az oktatói, kutatói, illetve tanári munkakörben, valamint a 37. § (1) bekezdés </w:t>
      </w:r>
      <w:proofErr w:type="gramStart"/>
      <w:r w:rsidRPr="00674D37">
        <w:rPr>
          <w:rFonts w:ascii="Times New Roman" w:eastAsia="Times New Roman" w:hAnsi="Times New Roman" w:cs="Times New Roman"/>
          <w:sz w:val="24"/>
          <w:szCs w:val="24"/>
        </w:rPr>
        <w:t>a)-</w:t>
      </w:r>
      <w:proofErr w:type="gramEnd"/>
      <w:r w:rsidRPr="00674D37">
        <w:rPr>
          <w:rFonts w:ascii="Times New Roman" w:eastAsia="Times New Roman" w:hAnsi="Times New Roman" w:cs="Times New Roman"/>
          <w:sz w:val="24"/>
          <w:szCs w:val="24"/>
        </w:rPr>
        <w:t>d) pontja szerinti magasabb vezető feladatellátását közvetlenül segítő szervezeti egységekben foglalkoztatottak felett a munkáltatói jogokat, valamint a 25. § (3) bekezdése szerinti megbízási jogviszonnyal kapcsolatos, a megbízót megillető jogosultságokat. Ezen foglalkoztatottak, megbízási jogviszonyban állók tekintetében illetmény, illetve egyéb jogviszonyra tekintettel történő juttatás megállapítására a rektor a kancellár egyetértésével jogosult.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13/A. § (1) Állami felsőoktatási intézményben az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intézmény működtetését a kancellár végzi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(2) A kancellár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a) felel a felsőoktatási intézmény gazdasági, pénzügyi, kontrolling, belső ellenőrzési, számviteli, munkaügyi, jogi, igazgatási, informatikai tevékenységéért, az intézmény vagyongazdálkodásáért, ideértve a műszaki, létesítményhasznosítási, üzemeltetési, logisztikai, szolgáltatási, beszerzési és közbeszerzési ügyeket is, irányítja e területen a működést,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d) gyakorolja az intézmények részvételével működő gazdasági társaságokban és gazdálkodó szervezetekben a tulajdonosi jogokat,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e) a 13. § (2) bekezdésében, valamint a 14. § (3) bekezdésében meghatározott kivétellel munkáltatói jogot gyakorol a felsőoktatási intézményben foglalkoztatott alkalmazottak felett, gondoskodik a jogszabályoknak megfelelő pénzügyi-szakmai kompetencia biztosításáról,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>(4) A kancellár a felsőoktatási intézménnyel áll közalkalmazotti jogviszonyban, felette a munkáltatói jogokat a fenntartó gyakorolja.</w:t>
      </w:r>
    </w:p>
    <w:p w:rsidR="00674D37" w:rsidRP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13/B. § (1) Állami felsőoktatási intézményben az intézmény stratégiai döntéseinek megalapozása, valamint a gazdálkodási tevékenység szakmai támogatása és ellenőrzése céljából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konzisztórium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 működik.</w:t>
      </w:r>
    </w:p>
    <w:p w:rsidR="00674D37" w:rsidRP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(2) A konzisztóriumnak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öt tagja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 van, amelybe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három tagot delegál a fenntartó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. A tagok személyére a fenntartónak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javaslatot tesz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nek a felsőoktatási intézmény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gazdasági-társadalmi környezete meghatározó szervezetei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 és az érintett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felsőoktatási intézmény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, valamint a felsőoktatási intézmény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hallgatói önkormányzata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>. A személyi javaslat a tagjelölt - személyes adatai kezelésére, valamint jelen bekezdésben megjelölt személyes adatai nyilvánosságra hozatalára is kiterjedő - elfogadó nyilatkozatával válik érvényessé. A javasolt tagok névsorát és szakmai önéletrajzát nyilvánosságra kell hozni.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D37">
        <w:rPr>
          <w:rFonts w:ascii="Times New Roman" w:eastAsia="Times New Roman" w:hAnsi="Times New Roman" w:cs="Times New Roman"/>
          <w:sz w:val="24"/>
          <w:szCs w:val="24"/>
        </w:rPr>
        <w:t xml:space="preserve">(3) A konzisztóriumnak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hivatalból tagja a rektor és a kancellár</w:t>
      </w:r>
      <w:r w:rsidRPr="0067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D37" w:rsidRDefault="00674D37" w:rsidP="00674D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IV. FEJEZET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A FELSŐOKTATÁSBAN FOLYÓ KÉPZÉS RENDSZERE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7. A felsőfokú végzettségi szint és a szakképzettség</w:t>
      </w:r>
    </w:p>
    <w:p w:rsidR="00470BDB" w:rsidRPr="00F27445" w:rsidRDefault="00470BDB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9739828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15. § (1) A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tanterveket ötévente felül kell vizsgálni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. Új vagy módosított tanulmányi és vizsgakövetelmények </w:t>
      </w:r>
      <w:bookmarkEnd w:id="0"/>
      <w:r w:rsidRPr="00F27445">
        <w:rPr>
          <w:rFonts w:ascii="Times New Roman" w:eastAsia="Times New Roman" w:hAnsi="Times New Roman" w:cs="Times New Roman"/>
          <w:sz w:val="24"/>
          <w:szCs w:val="24"/>
        </w:rPr>
        <w:t>bevezetésére felmenő rendszerben kerülhet sor.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(2) Felsőoktatási szakképzésben felsőfokú szakképzettség szerezhető, amelyet oklevél tanúsít. A felsőoktatási szakképzésben legalább százhúsz kreditet kell megszerezni. Az azonos képzési területhez tartozó alapképzési szakba beszámítható kreditek száma legalább harminc, legfeljebb kilencven lehet. A képzési idő legalább négy félév.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(3) Az </w:t>
      </w:r>
      <w:r w:rsidRPr="00764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alapképzésben alapfokozat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baccalaureus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bachelor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bachelor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profession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bachelor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arts) és szakképzettség szerezhető. Az alapfokozat a felsőoktatás egymásra épülő képzési ciklusainak az első felsőfokú végzettségi szintje, amely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feljogosít a mesterképzés megkezdésére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. A gyakorlatigényes alapképzési szakokon legalább a 85. § (3) bekezdésében meghatározott időtartamú szakmai gyakorlatot (a továbbiakban: szakmai gyakorlat) kell szervezni.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szakmai gyakorlat teljesítése feltétele a záróvizsgára bocsátásnak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. Az alapképzésben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száznyolcvan kreditet kell és legfeljebb kétszáznegyven kredit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et lehet teljesíteni. A képzési idő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hat, legfeljebb nyolc félév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(4) A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mesterképzésben mesterfokozat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magister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profession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arts) és szakképzettség szerezhető. A mesterképzésben – figyelembe véve az (5) bekezdésben meghatározottakat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legalább hatvan kreditet kell és legfeljebb százhúsz kreditet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lehet megszerezni. A képzési idő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két, legfeljebb négy félév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(5) Az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osztatlan képzésben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háromszáz kreditet kell és legfeljebb háromszázhatvan kredit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et lehet megszerezni. A képzési idő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legalább tíz és legfeljebb tizenkét félév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BDB" w:rsidRPr="00F27445" w:rsidRDefault="00F27445" w:rsidP="00312064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(6) A szakirányú továbbképzésben – az alap- vagy a mesterfokozatot követően további – szakirányú szakképzettség szerezhető. A szakirányú továbbképzésben legalább hatvan kreditet kell és legfeljebb százhúsz kreditet lehet megszerezni. A képzési idő legalább két, legfeljebb négy félév.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16. § (1) A képzési program része a doktori képzés, amely a mesterfokozat megszerzését követő képzésben a doktori fokozat megszerzésére készít fel. Doktori képzésben legalább kettőszáznegyven kreditet kell szerezni. A képzési idő – ha e törvény eltérően nem rendelkezik – nyolc félév.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(4) A doktori képzésben szerezhető oklevél által tanúsított tudományos fokozat a „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Doctor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Philosophy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>” (rövidítve: PhD), a művészeti képzésben a „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Doctor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Liberal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Arts” (rövidítve: DLA).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8. A képzés megszervezésének módozatai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17. § (1) A felsőoktatásban a képzés megszervezhető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teljes idejű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képzésként,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részidős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képzésként, továbbá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távoktatásként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. A teljes idejű képzés félévenként legalább kettőszáz, doktori képzés esetén legalább negyven tanórából áll.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teljes idejű képzést a nappali képzés munkarendje szerint heti öt napból álló tanítási hét keretében, a munkanapokon kell megszervezni.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(3) A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részidős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képzés lehet </w:t>
      </w:r>
      <w:r w:rsidRPr="00AB5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esti vagy levelező 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képzés munkarendje szerint szervezett képzés. A részidős képzés időtartama a teljes idejű képzés tanóráinak legalább harminc, legfeljebb ötven százaléka lehet. A szakirányú továbbképzés időtartama a teljes idejű képzés tanóráinak legalább húsz, legfeljebb ötven százaléka lehet.</w:t>
      </w:r>
    </w:p>
    <w:p w:rsidR="00AB574B" w:rsidRPr="00F27445" w:rsidRDefault="00AB574B" w:rsidP="00AB574B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AB574B" w:rsidRPr="00F27445" w:rsidRDefault="00AB574B" w:rsidP="00AB574B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FELSŐOKTATÁS</w:t>
      </w:r>
      <w:r w:rsidR="00966737">
        <w:rPr>
          <w:rFonts w:ascii="Times New Roman" w:eastAsia="Times New Roman" w:hAnsi="Times New Roman" w:cs="Times New Roman"/>
          <w:b/>
          <w:sz w:val="28"/>
          <w:szCs w:val="28"/>
        </w:rPr>
        <w:t>BAN ALKALMAZOTTAK KÖRE ÉS A FOGLALKOZTATÁS ÁLTALÁNOS SZABÁLYAI</w:t>
      </w:r>
    </w:p>
    <w:p w:rsidR="00AB574B" w:rsidRDefault="00966737" w:rsidP="00AB574B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B574B"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Munkakörök, munkaviszonyra vonatkozó szabályok</w:t>
      </w:r>
    </w:p>
    <w:p w:rsidR="00966737" w:rsidRPr="00F27445" w:rsidRDefault="00966737" w:rsidP="00AB574B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BDB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lastRenderedPageBreak/>
        <w:t>24. § (1) A felsőoktatási intézményben az oktatással összefüggő feladatokat oktatói és tanári munkakörökben foglalkoztatottak látják el. Az önálló kutatói feladatok ellátására tudományos kutatói munkakör létesíthető.</w:t>
      </w:r>
    </w:p>
    <w:p w:rsidR="00966737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(4) Az alkalmazottak foglalkoztatására költségvetési szervként működő felsőoktatási intézmény esetén a közalkalmazottak jogállásáról szóló törvényt, más felsőoktatási intézményekben a munka törvénykönyvét az e törvényben meghatározott eltérésekkel kell alkalmazni.</w:t>
      </w:r>
    </w:p>
    <w:p w:rsidR="00966737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(6) A közalkalmazottak jogállásáról szóló törvény</w:t>
      </w:r>
    </w:p>
    <w:p w:rsidR="00966737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c) szerinti </w:t>
      </w:r>
      <w:r w:rsidRPr="00312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vezetői illetménypótlék mértékét a rektor, kancellár tekintetében a munkáltató</w:t>
      </w: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 a minősítés eredményére tekintettel jogosult módosítani,</w:t>
      </w:r>
      <w:bookmarkStart w:id="1" w:name="_GoBack"/>
      <w:bookmarkEnd w:id="1"/>
    </w:p>
    <w:p w:rsidR="00966737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737" w:rsidRPr="00F27445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966737" w:rsidRPr="00F27445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Z OKTATÓKRA, TUDOMÁNYOS KUTATÓKRA, TANÁRI MUNKAKÖRBEN FOGLALKOZTATTOKRA VONATKOZÓ KÜLÖN SZA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BÁLY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OK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Az oktatói 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unkakörök,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munkaköri címek</w:t>
      </w:r>
    </w:p>
    <w:p w:rsidR="00966737" w:rsidRDefault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26. § (1) Az oktató a heti teljes munkaidejéből - két egymást követő tanulmányi félév átlagában - egyetemi vagy főiskolai tanári munkakörben legalább heti nyolc, docensi munkakörben legalább heti tíz, adjunktus, tanársegéd és mesteroktató munkakörben legalább heti tizenkét órát köteles a hallgatók felkészítését szolgáló előadás, szeminárium, gyakorlat, konzultáció megtartására (a továbbiakban: tanításra fordított idő) fordítani.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Az oktatói munkakör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létesítése és megszüntetése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27. § (1) A felsőoktatási intézményben létesíthető oktatói munkakörök a következők: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a) tanársegéd,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b) adjunktus,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c) főiskolai, illetve egyetemi docens,</w:t>
      </w:r>
    </w:p>
    <w:p w:rsidR="00966737" w:rsidRP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d) főiskolai, illetve egyetemi tanár,</w:t>
      </w:r>
    </w:p>
    <w:p w:rsid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>e) mesteroktató.</w:t>
      </w:r>
    </w:p>
    <w:p w:rsidR="00966737" w:rsidRDefault="00966737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(3) A főiskolai, illetve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egyetemi tanári</w:t>
      </w: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 munkakörben történő alkalmazás - a foglalkoztatásra irányuló jogviszony létesítésének - feltétele, hogy az érintettet a megfelelő munkaköri cím adományozásával a miniszterelnök főiskolai tanárrá, illetve a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köztársasági elnök egyetemi tanárrá</w:t>
      </w: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 kinevezze (a továbbiakban: főiskolai, egyetemi tanári munkaköri cím adományozása). A miniszterelnöki, illetve a köztársasági elnöki intézkedés a főiskolai, illetve egyetemi tanári munkakör betöltéséhez szükséges előfeltétel, a megfelelő munkaköri cím adományozását eredményezi. A főiskolai, illetve egyetemi tanári munkaköri cím használati jogának biztosítása, megvonása - külön erre irányuló munkáltatói intézkedés hiányában - nem eredményezi a foglalkoztatásra irányuló jogviszony létesítését, megszűnését. A főiskolai, illetve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egyetemi tanár foglalkoztatására irányuló jogviszony</w:t>
      </w:r>
      <w:r w:rsidRPr="00966737">
        <w:rPr>
          <w:rFonts w:ascii="Times New Roman" w:eastAsia="Times New Roman" w:hAnsi="Times New Roman" w:cs="Times New Roman"/>
          <w:sz w:val="24"/>
          <w:szCs w:val="24"/>
        </w:rPr>
        <w:t xml:space="preserve">t a felsőoktatási intézményben munkáltatói jogkört gyakorló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rektor jogosult létesíteni</w:t>
      </w:r>
      <w:r w:rsidRPr="00966737">
        <w:rPr>
          <w:rFonts w:ascii="Times New Roman" w:eastAsia="Times New Roman" w:hAnsi="Times New Roman" w:cs="Times New Roman"/>
          <w:sz w:val="24"/>
          <w:szCs w:val="24"/>
        </w:rPr>
        <w:t>, illetve megszüntetni.</w:t>
      </w:r>
    </w:p>
    <w:p w:rsidR="001A5A11" w:rsidRPr="00966737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tudományos kutatók</w:t>
      </w:r>
    </w:p>
    <w:p w:rsidR="001A5A11" w:rsidRDefault="001A5A11" w:rsidP="00966737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33. §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(2) A felsőoktatási intézményben létesíthető kutatói munkakörök a következők: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a) tudományos segédmunkatárs,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b) tudományos munkatárs,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c) tudományos főmunkatárs,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d) tudományos tanácsadó,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e) kutatóprofesszor.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A11" w:rsidRPr="00966737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Munkabér, illetmény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36. §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(2) Költségvetési szervként működő felsőoktatási intézmény alkalmazottjának havi illetményét, havi rendszeres </w:t>
      </w:r>
      <w:proofErr w:type="spellStart"/>
      <w:r w:rsidRPr="001A5A11">
        <w:rPr>
          <w:rFonts w:ascii="Times New Roman" w:eastAsia="Times New Roman" w:hAnsi="Times New Roman" w:cs="Times New Roman"/>
          <w:sz w:val="24"/>
          <w:szCs w:val="24"/>
        </w:rPr>
        <w:t>illetménypótlékát</w:t>
      </w:r>
      <w:proofErr w:type="spellEnd"/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a közalkalmazottak jogállásáról szóló törvény 21. § (3) bekezdésében foglaltak szerint kell megállapítani.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A11" w:rsidRPr="00F27445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IX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VEZETŐI ÁLLÁSOK ÉS VEZETŐI MEGBÍZÁSOK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5A11" w:rsidRPr="00966737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 vezetői megbízás létesítése</w:t>
      </w:r>
    </w:p>
    <w:p w:rsidR="001A5A11" w:rsidRPr="00F27445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37. § (1) A felsőoktatási intézményekben - a szervezeti és működési szabályzatban meghatározottak alapján - a következő magasabb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vezetői megbízások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adhatók: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a) rektor,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b) rektorhelyettes,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c) főigazgató, klinikai központ esetén elnök,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>ékán,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e) kancellár,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(2) A felsőoktatási intézményekben - a szervezeti és működési szabályzatban meghatározottak alapján az (1) bekezdésben </w:t>
      </w:r>
      <w:proofErr w:type="spellStart"/>
      <w:r w:rsidRPr="001A5A11">
        <w:rPr>
          <w:rFonts w:ascii="Times New Roman" w:eastAsia="Times New Roman" w:hAnsi="Times New Roman" w:cs="Times New Roman"/>
          <w:sz w:val="24"/>
          <w:szCs w:val="24"/>
        </w:rPr>
        <w:t>felsoroltakon</w:t>
      </w:r>
      <w:proofErr w:type="spellEnd"/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kívül - a következő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vezetői megbízások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adhatók: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a) az (1) bekezdésben felsoroltak - az a) és b) pont kivételével - helyettesei,</w:t>
      </w:r>
    </w:p>
    <w:p w:rsid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>b) szervezeti egység vezetői és vezetőhelyettesei.</w:t>
      </w:r>
    </w:p>
    <w:p w:rsidR="001A5A11" w:rsidRPr="001A5A11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A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rektori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megbízásra benyújtott valamennyi, a pályázati feltételeknek megfelelt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pályázatot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szenátus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véleményezi, és valamennyi tagja többségének szavazatával dönt a rektorjelölt személyéről. Adott felsőoktatási intézményben ugyanazon személy - a vezetői megbízási ciklusoktól függetlenül - összesen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legfeljebb két alkalommal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kaphat rektori magasabb vezetői megbízást az esetleges jogelőd intézményekre is tekintettel. A rektori magasabb vezetői pályázatot a fenntartó írja ki.</w:t>
      </w:r>
    </w:p>
    <w:p w:rsidR="00966737" w:rsidRDefault="001A5A11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(4a) A </w:t>
      </w:r>
      <w:r w:rsidRPr="001A5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kancellári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megbízásra irányuló pályázat kiírásáról, a személyi javaslatok felterjesztéséről a miniszter gondoskodik. A pályázat benyújtásának a határideje a közzétételtől számított tizenöt napnál rövidebb nem lehet. A kancellár megbízására, a megbízás visszavonására a </w:t>
      </w:r>
      <w:r w:rsidRPr="00287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miniszterelnök</w:t>
      </w:r>
      <w:r w:rsidRPr="001A5A11">
        <w:rPr>
          <w:rFonts w:ascii="Times New Roman" w:eastAsia="Times New Roman" w:hAnsi="Times New Roman" w:cs="Times New Roman"/>
          <w:sz w:val="24"/>
          <w:szCs w:val="24"/>
        </w:rPr>
        <w:t xml:space="preserve"> jogosult.</w:t>
      </w:r>
    </w:p>
    <w:p w:rsidR="00287AF0" w:rsidRDefault="00287AF0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F0" w:rsidRPr="00F27445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287AF0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HALLGATÓ</w:t>
      </w:r>
    </w:p>
    <w:p w:rsidR="00287AF0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AF0" w:rsidRPr="00966737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Felvétel, beiratkozás</w:t>
      </w:r>
    </w:p>
    <w:p w:rsidR="00287AF0" w:rsidRDefault="00287AF0" w:rsidP="001A5A11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AF0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Pr="00287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Felsőoktatási szakképzésre, alapképzésre, mesterképzésre és osztatlan képzés</w:t>
      </w: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re történő jelentkezés esetében a felvételről a felsőoktatási intézmény a jelentkezők teljesítménye, az adott intézményre megállapított maximális hallgatói létszám szakos hallgatói kapacitása, valamint a jelentkezők által összeállított jelentkezési sorrend figyelembevételével - a mesterképzés kivételével - </w:t>
      </w:r>
      <w:r w:rsidRPr="00287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országosan egységes rangsorolás</w:t>
      </w: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 alapján dönt.</w:t>
      </w:r>
    </w:p>
    <w:p w:rsidR="00287AF0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Pr="00287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Szakirányú továbbképzésre és doktori képzés</w:t>
      </w: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re történő jelentkezés esetében a felvételről a felsőoktatási intézmény a jelentkezők teljesítménye és a felvehető létszám, valamint az adott intézményre megállapított maximális hallgatói létszám szakos hallgatói kapacitása, továbbá a magyar állami (rész)ösztöndíjjal támogatott képzésre felvehető létszám figyelembevételével, a jelentkezők </w:t>
      </w:r>
      <w:r w:rsidRPr="00287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intézményi rangsorolása</w:t>
      </w:r>
      <w:r w:rsidRPr="00287AF0">
        <w:rPr>
          <w:rFonts w:ascii="Times New Roman" w:eastAsia="Times New Roman" w:hAnsi="Times New Roman" w:cs="Times New Roman"/>
          <w:sz w:val="24"/>
          <w:szCs w:val="24"/>
        </w:rPr>
        <w:t xml:space="preserve"> alapján dönt.</w:t>
      </w:r>
    </w:p>
    <w:p w:rsidR="00287AF0" w:rsidRDefault="00287AF0" w:rsidP="00287AF0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 w:rsidP="00287AF0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24. A jelentkező, valamint a hallgatói jogviszonyban álló személy által gyakorolható jogosultságok, hallgatói kötelezettségek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42. § (1) A hallgató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 tanulmányaihoz kapcsolódó résztanulmányok folytatása céljából másik felsőoktatási intézménnyel vendéghallgatói jogviszonyt létesíthet,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kérheti átvételét azonos, illetve másik felsőoktatási intézmény ugyanazon képzési területhez tartozó szakjára.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(6) Az átvételre azonos végzettségi szintet eredményező szakok között kerülhet sor.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25. A hallgatói munkavégzés szabályai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44. § (3) A hallgatót a hallgatói munkaszerződésben részletezett módon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a) díjazás illetheti, illetve a hat hét időtartamot elérő egybefüggő gyakorlat ideje alatt, valamint a duális képzés képzési ideje alatt díjazás illeti, amelynek mértéke legalább a 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kötelező legkisebb munkabér (minimálbér) hatvanöt százaléka, a díjat – eltérő megállapodás hiányában – a szakmai gyakorlóhely fizeti.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26. A hallgatói jogviszony szünetelése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45. § (1) Ha a hallgató bejelenti, hogy a következő képzési időszakban hallgatói kötelezettségének nem kíván eleget tenni, illetve, ha a hallgató a soron következő képzési időszakra nem jelentkezik be, a hallgatói jogviszonya szünetel. A hallgatói jogviszony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egybefüggő szüneteltetés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ének ideje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nem lehet hosszabb, mint két félév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. A hallgató, a tanulmányi és vizsgaszabályzatban meghatározottak szerint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több alkalommal is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élhet a hallgatói jogviszonyának szüneteltetésével.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felsőoktatási intézmény a hallgató kérelmére engedélyezheti a hallgatói jogviszony szünetelését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az (1) bekezdésben meghatározottnál hosszabb, egybefüggő időtartamban is,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az intézményi szabályzat erre vonatkozó megengedő rendelkezése hiányában az első félév teljesítése előtt is, vagy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a már megkezdett képzési időszak végéig, az adott képzési időszakra vonatkozóan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feltéve, hogy a hallgató a hallgatói jogviszonyból eredő kötelezettségeinek szülés, továbbá baleset, betegség vagy más váratlan ok miatt, önhibáján kívül nem tud eleget tenni.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(2a) Ha a felsőoktatási intézmény a (2) bekezdés c) pontja szerint a hallgatói jogviszony szünetelését engedélyezi, az adott képzési időszakra vonatkozó bejelentkezést visszavontnak kell tekinteni, azzal, hogy a már megkezdett, de a szüneteléssel érintett képzési időszakra vonatkozóan a bejelentkezés jogkövetkezményei nem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állapíthatóak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meg.</w:t>
      </w:r>
    </w:p>
    <w:p w:rsidR="00F521A4" w:rsidRDefault="00F521A4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1A4" w:rsidRPr="00F27445" w:rsidRDefault="00F521A4" w:rsidP="00F521A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F521A4" w:rsidRDefault="00F521A4" w:rsidP="00F521A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MAGYAR ÁLLAMI (RÉSZ)ÖSZTÖNDÍJAS ÉS AZ ÖNKÖLTSÉGES HALLGATÓ</w:t>
      </w:r>
    </w:p>
    <w:p w:rsidR="00470BDB" w:rsidRPr="00F27445" w:rsidRDefault="00470BDB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27. A költségviselés formái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46. § (1) A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költségviselés formá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ja szerint a felsőoktatási képzésben részt vevő lehet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magyar állami ösztöndíjjal támogatott hallgató,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magyar állami részösztöndíjjal támogatott hallgató,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önköltséges hallgató.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(2) A hallgatók számára a magyar állam biztosítja a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hallgatói hitel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igénybevételének lehetőségét.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(3) A magyar állami ösztöndíjjal támogatott hallgató képzésének jogszabályban meghatározott költségét, valamint a magyar állami részösztöndíjjal támogatott hallgató képzési költségének felét az állam, az önköltséges képzés költségeit a hallgató viseli. A magyar állami (rész)ösztöndíjjal támogatott képzésre tekintettel a magyar állami ösztöndíj feltételei teljesítésének nyilvántartásáért felelős szerv által megállapított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visszafizetési kötelezettség adók módjára behajtandó köztartozás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. Bármely képzési ciklusban, felsőoktatási szakképzésben, szakirányú továbbképzésben részt vevő hallgató lehet magyar állami (rész)ösztöndíjjal támogatott, függetlenül annak munkarendjétől.</w:t>
      </w:r>
    </w:p>
    <w:p w:rsidR="00F521A4" w:rsidRPr="00F27445" w:rsidRDefault="00F521A4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1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(7) A miniszter évente, a felvétel időpontját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megelőző év december 31</w:t>
      </w:r>
      <w:r w:rsidRPr="00F521A4">
        <w:rPr>
          <w:rFonts w:ascii="Times New Roman" w:eastAsia="Times New Roman" w:hAnsi="Times New Roman" w:cs="Times New Roman"/>
          <w:sz w:val="24"/>
          <w:szCs w:val="24"/>
        </w:rPr>
        <w:t xml:space="preserve">. napjáig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teljes körű tájékoztatást</w:t>
      </w:r>
      <w:r w:rsidRPr="00F521A4">
        <w:rPr>
          <w:rFonts w:ascii="Times New Roman" w:eastAsia="Times New Roman" w:hAnsi="Times New Roman" w:cs="Times New Roman"/>
          <w:sz w:val="24"/>
          <w:szCs w:val="24"/>
        </w:rPr>
        <w:t xml:space="preserve"> tesz közzé, amely a felvételi eljárások vonatkozásában tartalmaz minden, a jelentkezések benyújtásához szükséges információt.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28. Az állam által támogatott tanulmányok időtartama.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Besorolás, átsorolás.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47. § (1) Egy személy – felsőoktatási szakképzésben,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alapképzésben és mesterképzésben összesen – tizenkét féléven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át folytathat a felsőoktatásban tanulmányokat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magyar állami (rész)ösztöndíjas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képzésben (a továbbiakban: támogatási idő). A támogatási idő legfeljebb </w:t>
      </w:r>
      <w:r w:rsidRPr="00F5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tizennégy félév, ha a hallgató osztatlan képzésben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vesz részt és a képzési követelmények szerint a képzési idő meghaladja a tíz félévet.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(3) Az (1) bekezdés szerinti képzésben az oklevél megszerzéséhez igénybe vehető támogatási idő legfeljebb két félévvel lehet hosszabb, mint az adott tanulmányok képzési ideje. Az adott szak támogatási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idejébe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az azonos szakon korábban igénybe vett támogatási időt be kell számítani. Ha a hallgató az így meghatározott támogatási idő alatt az adott fokozatot (oklevelet) nem tudja megszerezni, a tanulmányait e szakon önköltséges képzési formában folytathatja akkor is, ha az (1) bekezdés szerinti támogatási időt egyébként még nem merítette ki.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fogyatékossággal élő hallgató (1) bekezdésben meghatározott támogatási idejét a felsőoktatási intézmény legfeljebb négy félévvel megnövelheti. E kedvezmény több fokozat (oklevél) megszerzéséhez is igénybe vehető, azzal hogy az e bekezdésre tekintettel igénybe vett támogatási idő összesen a négy félévet nem haladhatja meg.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(5) A hallgató által igénybe vett támogatási időnek minősül minden olyan félév, amelyre a hallgató bejelentkezett.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(6) A támogatási idő számításakor nem kell figyelembe venni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 megkezdett félévet, ha betegség, szülés vagy más, a hallgatónak fel nem róható ok miatt nem sikerült befejezni a félévet,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 támogatási idő terhére teljesített félévet, ha megszűnt a felsőoktatási intézmény anélkül, hogy a hallgató a tanulmányait be tudta volna fejezni, feltéve, hogy tanulmányait nem tudta másik felsőoktatási intézményben folytatni,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azt a félévet sem, amelyet tanulmányai folytatásánál a felsőoktatási intézmény a megszűnt intézményben befejezett félévekből nem ismert el,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d) azt a félévet, amelyet a Nemzeti Közszolgálati Egyetemről, valamint a közigazgatási, rendészeti és katonai felsőoktatásról szóló 2011. évi CXXXII. törvény (a továbbiakban: a Nemzeti Közszolgálati Egyetemről szóló törvény) 21/A. § (1) bekezdés a), b) és d) pontjában meghatározott jogviszonyban álló hallgató a Nemzeti Közszolgálati Egyetem képzésén vett igénybe.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(7) A magyar állami (rész)ösztöndíjjal támogatott képzésben való részvételt nem zárja ki a felsőoktatásban szerzett fokozat és szakképzettség megléte, azzal, hogy aki egy képzési ciklusban magyar állami (rész)ösztöndíjas képzésben tanulmányokat folytat, ugyanazon képzési ciklusba tartozó további (párhuzamos) képzés folytatása esetén a támogatási időből félévente a párhuzamosan folytatott állami (rész)ösztöndíjjal támogatott képzések számának megfelelő számú félévet le kell vonni.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(8) Ha a hallgató kimerítette az e §-ban meghatározottak szerint rendelkezésére álló támogatási időt, csak önköltséges képzési formában folytathat tanulmányokat a felsőoktatásban.</w:t>
      </w:r>
    </w:p>
    <w:p w:rsidR="00470BDB" w:rsidRPr="00F27445" w:rsidRDefault="00470BDB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48. § (1) A hallgatót magyar állami (rész)ösztöndíjas vagy önköltséges képzési formára kell besorolni.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felsőoktatási intézmény tanévenként köteles önköltséges képzésre átsorolni azt a magyar állami (rész)ösztöndíjjal támogatott képzésben részt vevő hallgatót, aki az utolsó két olyan félév átlagában, amelyben hallgatói jogviszonya nem szünetelt, illetve nem a 81. § (3) és (4) bekezdésében meghatározott külföldi képzésben vett részt, nem szerzett legalább tizennyolc kreditet, vagy nem érte el az intézmény szervezeti és működési szabályzatában megállapított tanulmányi átlagot, továbbá azt, aki a 48/D. § (2) bekezdése szerinti nyilatkozatát visszavonja.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Ha a magyar állami (rész)ösztöndíjjal támogatott képzésre felvett hallgatónak a tanulmányai befejezése előtt megszűnik a hallgatói jogviszonya, vagy a hallgató a tanulmányait bármely okból önköltséges formában folytatja tovább, helyére – ilyen irányú kérelem esetén – a felsőoktatási intézményben önköltséges formában azonos szakon tanulmányokat folytató hallgató léphet. Az átsorolásról a felsőoktatási intézmény a magyar állami (rész)ösztöndíjjal támogatott képzésre átsorolását kérő önköltséges hallgatók tanulmányi teljesítménye alapján dönt.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magyar állami ösztöndíjjal támogatott képzésre felvett hallgató helyére magyar állami részösztöndíjjal támogatott képzésben részt vevő hallgató is átsorolható a (3) bekezdésben foglaltak szerint.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  <w:vertAlign w:val="superscript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28/A. A magyar állami (rész)ösztöndíjjal támogatott képzés sajátos feltételei</w:t>
      </w:r>
      <w:r w:rsidRPr="00F27445">
        <w:rPr>
          <w:rFonts w:ascii="Times New Roman" w:hAnsi="Times New Roman" w:cs="Times New Roman"/>
          <w:sz w:val="24"/>
          <w:szCs w:val="24"/>
        </w:rPr>
        <w:fldChar w:fldCharType="begin"/>
      </w:r>
      <w:r w:rsidRPr="00F27445">
        <w:rPr>
          <w:rFonts w:ascii="Times New Roman" w:hAnsi="Times New Roman" w:cs="Times New Roman"/>
          <w:sz w:val="24"/>
          <w:szCs w:val="24"/>
        </w:rPr>
        <w:instrText xml:space="preserve"> HYPERLINK "http://njt.hu/cgi_bin/njt_doc.cgi?docid=142941.361248&amp;fbclid=IwAR0oKcg8y3-JiOJvBxkFxQoiEXufDa_HeRHu8A_fP1m4M5Jw0Ic0GzBIL6Y#foot215" </w:instrText>
      </w:r>
      <w:r w:rsidRPr="00F274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hAnsi="Times New Roman" w:cs="Times New Roman"/>
          <w:sz w:val="24"/>
          <w:szCs w:val="24"/>
        </w:rPr>
        <w:fldChar w:fldCharType="end"/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48/A. A magyar állami (rész)ösztöndíjas hallgató köteles: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az általa folyatott, magyar állami (rész)ösztöndíjjal támogatott adott képzésen a képzési és kimeneti követelményekben meghatározott tanulmányi idő alatt, de legfeljebb a képzési és kimeneti követelményekben meghatározott képzési idő másfélszeresén belül megszerezni az oklevelet, és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az oklevél megszerzését követő húsz éven belül az általa állami (rész)ösztöndíjjal folytatott tanulmányok idejével megegyező időtartamban magyar joghatóság alatt álló munkáltatónál a társadalombiztosítás ellátásaira és a magánnyugdíjra jogosultakról, valamint e szolgáltatások fedezetéről szóló 1997. évi LXXX. törvény 5. §-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ában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meghatározott biztosítási jogviszonyt eredményező munkaviszonyt, munkavégzésre irányuló egyéb jogviszonyt fenntartani vagy magyar joghatóság alatt vállalkozási tevékenységet folytatni (a továbbiakban: hazai munkaviszony),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az általa magyar állami (rész)ösztöndíjjal folytatott tanulmányok idejével megegyező időtartamban hazai munkaviszonyt fenntartani az adott képzés megszűnésének napjától számítva a magyar állami (rész)ösztöndíjjal folytatott tanulmányi idővel megegyező időtartamot követő két éven belül, ha az a) pontban meghatározott határidőn belül nem szerzi meg a magyar állami (rész)ösztöndíjjal támogatott képzésben az oklevelet, vagy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d) visszafizetni az adott képzésére tekintettel a magyar állam által folyósított 48/C. § (1) bekezdés a) pontja szerinti magyar állami (rész)ösztöndíjnak összegét (e pont tekintetében a továbbiakban együtt: tartozás) a magyar államnak, ha az oklevél megszerzését követően nem tart fenn a b) pont szerint hazai munkaviszonyt, illetve visszafizetni a tartozás ötven százalékának megfelelő összeget a magyar államnak, ha nem tart fenn a c) pont szerint hazai munkaviszonyt.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48/B. § (1) A 48/A. § b) és c) pontjában meghatározott kötelezettség több részletben is teljesíthető.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Amennyiben a magyar állami (rész)ösztöndíjas hallgató a hallgatói jogviszonyának fennállása alatt a magyar állami (rész)ösztöndíjjal támogatott képzésében finanszírozási formát vált, és önköltséges formában folytatja a tanulmányait az adott képzésen, a 48/A. § </w:t>
      </w:r>
      <w:proofErr w:type="gramStart"/>
      <w:r w:rsidRPr="00F27445">
        <w:rPr>
          <w:rFonts w:ascii="Times New Roman" w:eastAsia="Times New Roman" w:hAnsi="Times New Roman" w:cs="Times New Roman"/>
          <w:sz w:val="24"/>
          <w:szCs w:val="24"/>
        </w:rPr>
        <w:t>b)–</w:t>
      </w:r>
      <w:proofErr w:type="gramEnd"/>
      <w:r w:rsidRPr="00F27445">
        <w:rPr>
          <w:rFonts w:ascii="Times New Roman" w:eastAsia="Times New Roman" w:hAnsi="Times New Roman" w:cs="Times New Roman"/>
          <w:sz w:val="24"/>
          <w:szCs w:val="24"/>
        </w:rPr>
        <w:t>d) pontjaiban meghatározott kötelezettségek csak a magyar állami (rész)ösztöndíjjal támogatott időszakra vonatkozóan terhelik.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(6) Az ezen alcímben meghatározottakat alkalmazni kell az önköltséges képzésről állami (rész)ösztöndíjjal támogatott képzésre átsorolt, valamint a magyar állami (rész)ösztöndíjjal támogatott képzésre átvétel alapján hallgatói jogviszonyt létesítő hallgatóra is.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(7) Ha a hallgató párhuzamos képzésben folytatja tanulmányait, vagy egymást követően több oklevelet szerez, a 48/A. § b) és d) pontja szerinti kötelezettséget az első oklevél megszerzésének időpontjától kell számítani, és képzésenként teljesíteni kell.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(8) A 48/A. § a) pontjában meghatározott kötelezettség a szakváltást nem korlátozza. A szakváltás a képzés munkarendjének, nyelvének, helyének megváltoztatásával vagy átvétellel valósul meg. Szakváltás esetén a feltételek teljesítése szempontjából az újabb szak képzési ideje, képzési költsége az irányadó.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48/C. § (2)</w:t>
      </w:r>
      <w:r w:rsidRPr="00F274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Az állami ösztöndíj mértéke az adott felsőoktatási intézményben a hallgató által magyar állami (rész)ösztöndíjjal támogatott formában igénybe vett aktív félévekre – jogszabályban meghatározott keretek között a felsőoktatási intézmény által – a hallgatóra vetítve megállapított költségek összege. Ezen alcím vonatkozásában azon félév minősül aktív félévnek, amelyre a magyar állami (rész)ösztöndíjas hallgató bejelentkezett.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48/I. § (2) A magyar állami ösztöndíj feltételei teljesítésének nyilvántartásáért felelős szerv a magyar állami (rész)ösztöndíjjal támogatott képzés befejezésének, vagy ha a magyar állami (rész)ösztöndíjas hallgató az adott képzést nem fejezi be, a hallgatói jogviszony megszűnésének időpontjától számított hatvan napon belül közli a volt magyar állami (rész)ösztöndíjas hallgatóval az adott képzésen általa igénybe vett állami ösztöndíj teljes összegét.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48/M. § (2) A volt magyar állami (rész)ösztöndíjas hallgatónak nem kell teljesítenie a 48/A. § c) pontja alapján meghatározott kötelezettséget, ha beiratkozását követően az adott szakon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i/>
          <w:sz w:val="24"/>
          <w:szCs w:val="24"/>
        </w:rPr>
        <w:t>a)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felsőoktatási szakképzés, illetve osztott képzés esetén legfeljebb egy félévig,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i/>
          <w:sz w:val="24"/>
          <w:szCs w:val="24"/>
        </w:rPr>
        <w:t>b)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osztatlan képzés esetén legfeljebb két félévig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folytatott tanulmányokat magyar állami (rész)ösztöndíjjal támogatott képzésben és szakváltásra nem került sor.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48/N. § (1) A magyar állami ösztöndíj feltételei teljesítésének nyilvántartásáért felelős szerv a volt magyar állami (rész)ösztöndíjas hallgató – 48/A. § </w:t>
      </w:r>
      <w:proofErr w:type="gramStart"/>
      <w:r w:rsidRPr="00F27445">
        <w:rPr>
          <w:rFonts w:ascii="Times New Roman" w:eastAsia="Times New Roman" w:hAnsi="Times New Roman" w:cs="Times New Roman"/>
          <w:sz w:val="24"/>
          <w:szCs w:val="24"/>
        </w:rPr>
        <w:t>a)pontjában</w:t>
      </w:r>
      <w:proofErr w:type="gram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meghatározott határidőt megelőzően benyújtott – kérelmére a 48/A. § a) pontja alapján meghatározott feltétel teljesítésének felfüggesztését engedélyezi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 külföldi felsőoktatási intézményben folytatott tanulmányokra,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nyelvvizsga-bizonyítvány megszerzése érdekében felnőttképzésben folytatott tanulmányokra tekintettel.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szünetelés legfeljebb két alkalommal, összesen legfeljebb két év időtartamra engedélyezhető, feltéve, hogy a magyar állami (rész)ösztöndíjas hallgató igazolja, hogy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a) a külföldi felsőoktatási intézmény és a külföldön folytatott tanulmányok az adott állam joga szerint felsőoktatási intézménynek és felsőfokú képzésnek számítanak,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az oklevél kiadásához szükséges nyelvvizsga-bizonyítvány megszerzése érdekében folytatott tanulmányait felnőttképzési jogviszonyban végzi.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48/Q. § (1) A volt magyar állami (rész)ösztöndíjas hallgató kérelmére a magyar állami ösztöndíj feltételei teljesítésének nyilvántartásáért felelős szerv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ötmillió forint alatti összegű állami ösztöndíj visszatérítési kötelezettsége esetén legfeljebb tíz évre szóló,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ötmillió forint feletti összegű állami ösztöndíj visszatérítési kötelezettsége esetén legfeljebb tizenöt évre szóló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részletfizetést engedélyez.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fizetési kötelezettség az esedékességet megelőzően is teljesíthető.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160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A részletfizetés ideje alatt megvalósuló – 48/M. § (1) bekezdés, illetve 48/O. § szerinti – körülmény, a mentesség megállapításának időpontjában még fennálló kötelezettség teljesítésére vonatkozik.</w:t>
      </w:r>
    </w:p>
    <w:p w:rsidR="00F521A4" w:rsidRDefault="00F521A4">
      <w:pPr>
        <w:pBdr>
          <w:left w:val="none" w:sz="0" w:space="11" w:color="auto"/>
          <w:right w:val="none" w:sz="0" w:space="11" w:color="auto"/>
        </w:pBdr>
        <w:spacing w:after="160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</w:rPr>
      </w:pPr>
    </w:p>
    <w:p w:rsidR="00F521A4" w:rsidRPr="00F27445" w:rsidRDefault="00F521A4" w:rsidP="00F521A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F521A4" w:rsidRDefault="00F521A4" w:rsidP="00F521A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TANULMÁNYI KÖTELEZETTSÉGEK TELJESÍTÉSE</w:t>
      </w:r>
    </w:p>
    <w:p w:rsidR="00470BDB" w:rsidRPr="00F27445" w:rsidRDefault="00470BDB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29. A tanulmányi követelmények és a hallgatók teljesítményének értékelése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49. § (1) A felsőoktatási intézményben folytatott tanulmányok során a tanulmányi követelmények teljesítését – az egyes tantárgyakhoz, tantervi egységekhez rendelt – tanulmányi pontokban (a továbbiakban: kredit) kell kifejezni és érdemjeggyel minősíteni. A hallgatónak az adott képzésben történő előrehaladását a megszerzett kreditek összege, minőségét az érdemjegye fejezi ki.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hallgató részére biztosítani kell, hogy tanulmányai során az oklevél megszerzéséhez előírt összes kredit legalább öt százalékáig, az intézmény szervezeti és működési szabályzata alapján szabadon választható tárgyakat vehessen fel – vagy e tárgyak helyett teljesíthető önkéntes tevékenységben vehessen részt –, továbbá az összes kreditet legalább húsz százalékkal meghaladó kreditértékű tantárgy közül választhasson.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(2a) Biztosítani kell, hogy a hallgató egyéni tanulmányi rendjében – külön önköltség, illetve térítési díj fizetése nélkül –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az összes előírt kreditet tíz százalékkal meghaladó kreditértékű tárgyat, továbbá azt, hogy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az összes előírt kredit tíz százalékáig terjedően nem magyar nyelven oktatott tárgyat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vehessen fel.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(3) A hallgató a tanulmányaihoz tartozó tantárgyakat annak a felsőoktatási intézménynek, amellyel hallgatói jogviszonyban áll, másik képzésében, továbbá más felsőoktatási </w:t>
      </w:r>
      <w:proofErr w:type="gramStart"/>
      <w:r w:rsidRPr="00F27445">
        <w:rPr>
          <w:rFonts w:ascii="Times New Roman" w:eastAsia="Times New Roman" w:hAnsi="Times New Roman" w:cs="Times New Roman"/>
          <w:sz w:val="24"/>
          <w:szCs w:val="24"/>
        </w:rPr>
        <w:t>intézményben</w:t>
      </w:r>
      <w:proofErr w:type="gram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mint vendéghallgató is felveheti.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felsőoktatási intézmény ajánlott tantervet ad ki a hallgatói tanulmányi rend összeállításához. A felsőoktatási intézménynek biztosítania kell, hogy minden hallgató számot adhasson tudásáról, és a sikeres vagy sikertelen számonkérést megismételhesse úgy, hogy a megismételt számonkérés elfogulatlan lebonyolítása és értékelése biztosított legyen.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(5) Egy adott ismeretanyag elsajátításáért egy alkalommal adható kredit. A kreditelismerés – tantárgy (modul) előírt kimeneti követelményei alapján – kizárólag a kredit 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megállapításának alapjául szolgáló tudás összevetésével történik. El kell ismerni a kreditet, ha az összevetett tudás legalább hetvenöt százalékban megegyezik. A tudás összevetését a felsőoktatási intézmény e célra létrehozott bizottsága (a továbbiakban: kreditátviteli bizottság) végzi.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F274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27445">
        <w:rPr>
          <w:rFonts w:ascii="Times New Roman" w:eastAsia="Times New Roman" w:hAnsi="Times New Roman" w:cs="Times New Roman"/>
          <w:sz w:val="24"/>
          <w:szCs w:val="24"/>
        </w:rPr>
        <w:t>A kreditátviteli bizottság az előzetesen nem formális, informális tanulás során megszerzett tudást, munkatapasztalatot – az e törvényben, valamint kormányrendeletben meghatározottak szerint – tanulmányi követelmény teljesítéseként elismerheti.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(7) A (3)–(6) bekezdésben meghatározottak végrehajtásával kapcsolatos kérdéseket a tanulmányi és vizsgaszabályzatban kell szabályozni, azzal a megkötéssel, hogy a hallgató a végbizonyítvány (abszolutórium) megszerzéséhez – a felsőoktatási intézményben folytatott, illetve más korábbi tanulmányok, továbbá az előzetesen megszerzett tudás kreditértékként való elismerése esetén is – a tanulmányi és vizsgaszabályzat szerinti kreditet, de legalább a képzés kreditértékének harmadát az adott intézmény adott képzésén köteles teljesíteni.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(7a) A (7) bekezdés rendelkezéseiből a doktori képzésben nem kell alkalmazni a képzés kreditértéke legalább harmadának az adott intézmény adott doktori képzésén történő megszerzésére vonatkozó előírást.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(8) A fogyatékossággal élő hallgató részére biztosítani kell a fogyatékossághoz igazodó felkészítést és vizsgáztatást, továbbá segítséget kell nyújtani részére ahhoz, hogy teljesíteni tudja a hallgatói jogviszonyából eredő kötelezettségeit. Indokolt esetben mentesíteni kell egyes tantárgyak, tantárgyrészek tanulása vagy a beszámolás kötelezettsége alól. Szükség esetén mentesíteni kell a nyelvvizsga vagy annak egy része, illetve szintje alól. A vizsgán biztosítani kell a hosszabb felkészülési időt, az írásbeli beszámolón lehetővé kell tenni a segédeszköz – így különösen írógép, számítógép – alkalmazását, szükség esetén az írásbeli beszámoló szóbeli beszámolóval vagy a szóbeli beszámoló írásbeli beszámolóval történő felváltását. Az e bekezdés alapján nyújtott mentesítés kizárólag a mentesítés alapjául szolgáló körülménnyel összefüggésben biztosítható és nem vezethet az oklevél által tanúsított szakképzettség megszerzéséhez szükséges alapvető tanulmányi követelmények alóli felmentéshez.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50. § (1) A felsőoktatási intézmény annak a hallgatónak, aki a tantervben előírt tanulmányi és vizsgakövetelményeket és az előírt szakmai gyakorlatot – a nyelvvizsga letétele, a szakdolgozat, diplomamunka elkészítése kivételével – teljesítette, és az előírt krediteket megszerezte, végbizonyítványt állít ki (abszolutórium).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hallgató tanulmányait felsőoktatási szakképzésben, alap- és mesterképzésben, szakirányú továbbképzésben záróvizsgával fejezi be.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A hallgató a végbizonyítvány megszerzését követően bocsátható záróvizsgára. A záróvizsga a végbizonyítvány megszerzését követő vizsgaidőszakban a hallgatói jogviszony keretében, majd a hallgatói jogviszony megszűnése után, két éven belül, bármelyik vizsgaidőszakban, az érvényes képzési követelmények szerint letehető. A tanulmányi és vizsgaszabályzat a záróvizsga letételét a végbizonyítvány kiállításától számított második év eltelte után feltételhez kötheti. A hallgatói jogviszony megszűnését követő ötödik év eltelte után záróvizsga nem tehető.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záróvizsga az oklevél megszerzéséhez szükséges ismeretek, készségek és képességek ellenőrzése és értékelése, amelynek során a hallgatónak arról is tanúságot kell tennie, hogy a tanult ismereteket alkalmazni tudja. A záróvizsga a tantervben meghatározottak szerint több részből – szakdolgozat vagy diplomamunka megvédéséből, további szóbeli, írásbeli, gyakorlati vizsgarészekből – állhat.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(5) Nem bocsátható záróvizsgára az a hallgató, aki a felsőoktatási intézménnyel szemben fennálló fizetési kötelezettségének nem tett eleget.</w:t>
      </w:r>
    </w:p>
    <w:p w:rsidR="00F521A4" w:rsidRDefault="00F521A4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1A4" w:rsidRPr="00F27445" w:rsidRDefault="00F521A4" w:rsidP="00F521A4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29.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 oklevél</w:t>
      </w:r>
    </w:p>
    <w:p w:rsidR="00F521A4" w:rsidRPr="00F27445" w:rsidRDefault="00F521A4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51. § (1) A felsőfokú tanulmányok befejezését igazoló oklevél kiadásának előfeltétele a sikeres záróvizsga, továbbá – ha e törvény másképp nem rendelkezik – az előírt nyelvvizsga letétele. Ha a képzési és kimeneti követelmény szigorúbb feltételt nem állapít meg, az oklevél kiadásához a hallgatónak be kell mutatnia azt az okiratot, amely igazolja, hogy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alapképzésben egy középfokú, „C” típusú általános nyelvi vagy középfokú (B2 szintű) általános nyelvi, komplex,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mesterképzésben a képzési és kimeneti követelményekben meghatározott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államilag elismert vagy azzal egyenértékű nyelvvizsgát tett (a továbbiakban: nyelvvizsga).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33A" w:rsidRPr="00F27445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Tehetséggondozás, tudományos diákkörök, szakkollégiumok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54. § A felsőoktatási intézmény feladata a tantervi követelményeket meghaladó teljesítmény nyújtására képes, kiemelkedő képességű és hozzáállású, valamint a hátrányos, illetve a halmozottan hátrányos helyzetű hallgatók felkutatása, felismerése, és szakmai, tudományos, művészeti és sport tevékenységének elősegítése. A felsőoktatási intézmény önállóan vagy más felsőoktatási intézménnyel együttműködve tehetséggondozó és felzárkóztató rendszert, illetve programokat működtet: ennek keretében </w:t>
      </w:r>
      <w:r w:rsidRPr="00902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tudományos diákköröket, szakkollégiumokat, illetve roma szakkollégiumokat</w:t>
      </w:r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 működtethet.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(...)</w:t>
      </w:r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. A felsőoktatási intézmény </w:t>
      </w:r>
      <w:r w:rsidRPr="009023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mentorprogram</w:t>
      </w:r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 keretében nyújt segítséget a hátrányos helyzetű hallgató tehetségének kibontakoztatásához.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33A" w:rsidRPr="00F27445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90233A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HALLGATÓ FELELŐSSÉGE, A HALLGATÓI JOGVISZONY MEGSZŰNÉSE</w:t>
      </w:r>
    </w:p>
    <w:p w:rsidR="0090233A" w:rsidRPr="00F27445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fegyelmi eljárás és a kárfelelősség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55. § (1) Ha a hallgató a kötelességeit vétkesen és súlyosan megszegi, fegyelmi eljárás alapján, írásbeli határozattal fegyelmi büntetésben részesíthető.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(2) A fegyelmi büntetés lehet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a) megrovás,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b) szigorú megrovás,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c) a térítési és juttatási szabályzatban meghatározott kedvezmények és juttatások - legfeljebb hat hónap időtartamra szóló - csökkentése, illetőleg megvonása,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d) határozott időre - legfeljebb két félévre - szóló eltiltás a tanulmányok folytatásától,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e) kizárás a felsőoktatási intézményből.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33A" w:rsidRPr="00F27445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jogorvoslat joga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57. § (1) Jogainak megsértése esetén a hallgató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a) a hallgatói önkormányzathoz fordulhat jogi segítségnyújtásért,</w:t>
      </w: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>c) jogorvoslati kérelmet terjeszthet elő, melyet a felsőoktatási intézmény a jelen törvényben írtak szerint köteles elbírálni,</w:t>
      </w:r>
    </w:p>
    <w:p w:rsidR="0090233A" w:rsidRDefault="0090233A" w:rsidP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d) az oktatási jogok biztosának az eljárását kezdeményezheti, feltéve, hogy az e törvényben </w:t>
      </w:r>
      <w:proofErr w:type="spellStart"/>
      <w:r w:rsidRPr="0090233A">
        <w:rPr>
          <w:rFonts w:ascii="Times New Roman" w:eastAsia="Times New Roman" w:hAnsi="Times New Roman" w:cs="Times New Roman"/>
          <w:sz w:val="24"/>
          <w:szCs w:val="24"/>
        </w:rPr>
        <w:t>szabályozottak</w:t>
      </w:r>
      <w:proofErr w:type="spellEnd"/>
      <w:r w:rsidRPr="0090233A">
        <w:rPr>
          <w:rFonts w:ascii="Times New Roman" w:eastAsia="Times New Roman" w:hAnsi="Times New Roman" w:cs="Times New Roman"/>
          <w:sz w:val="24"/>
          <w:szCs w:val="24"/>
        </w:rPr>
        <w:t xml:space="preserve"> szerint jogorvoslati jogát - a bírósági eljárás kivételével - kimerítette.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33A">
        <w:rPr>
          <w:rFonts w:ascii="Times New Roman" w:eastAsia="Times New Roman" w:hAnsi="Times New Roman" w:cs="Times New Roman"/>
          <w:sz w:val="24"/>
          <w:szCs w:val="24"/>
        </w:rPr>
        <w:lastRenderedPageBreak/>
        <w:t>58. § (1) A hallgató a jogorvoslati kérelem tárgyában hozott eljárást befejező döntést közigazgatási perben támadhatja meg. A keresetlevél benyújtásának halasztó hatálya van.</w:t>
      </w:r>
    </w:p>
    <w:p w:rsidR="0090233A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33A" w:rsidRPr="0090233A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hallgatói jogviszony megszűnése</w:t>
      </w:r>
    </w:p>
    <w:p w:rsidR="0090233A" w:rsidRPr="00F27445" w:rsidRDefault="0090233A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59. § (1) Megszűnik a hallgatói jogviszony,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ha a hallgatót másik felsőoktatási intézmény átvette, az átvétel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ha a hallgató bejelenti, hogy megszünteti a hallgatói jogviszonyát, a bejelentés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ha a hallgató nem folytathatja tanulmányait magyar állami (rész)ösztöndíjjal támogatott képzésben, és önköltséges képzésben nem kívánja azt folytatni,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d) azon félév utolsó napján, amelyben a hallgató a végbizonyítványt (abszolutóriumot) megszerezte,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e) felsőoktatási szakképzésben, ha a hallgató tanulmányainak folytatására egészségileg alkalmatlanná vált, és a felsőoktatási intézményben nem folyik másik, megfelelő felsőoktatási szakképzés, vagy a hallgató nem kíván továbbtanulni, illetve a továbbtanuláshoz szükséges feltételek hiányában nem tanulhat tovább, a megszüntetés tárgyában hozott döntés véglegessé válásának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f) ha a hallgató hallgatói jogviszonyát – fizetési hátralék miatt – a rektor a hallgató eredménytelen felszólítása és a hallgató szociális helyzetének vizsgálata után megszünteti, a megszüntetés tárgyában hozott döntés véglegessé válásának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g) a kizárás fegyelmi határozat véglegessé válásának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h) ha a hallgatói jogviszony létesítéséhez előírt e törvényben meghatározott feltétel a továbbiakban már nem áll fenn, az ennek tárgyában hozott megszüntető döntés véglegessé válásának napján,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i) ha a magyar állami (rész)ösztöndíjjal támogatott képzésben részt vevő hallgató a 48/D. § (2) bekezdés szerinti nyilatkozatát visszavonja és nem vállalja az önköltséges képzésben való részvételt,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A felsőoktatási intézmény egyoldalú nyilatkozattal is megszünteti annak a hallgatónak a hallgatói jogviszonyát, aki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 tanulmányi és vizsgaszabályzatban, illetve a tantervben rögzített, a tanulmányokban való előrehaladással kapcsolatos kötelezettségeit nem teljesíti,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egymást követően harmadik alkalommal nem jelentkezik be a következő tanulmányi félévre,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a hallgatói jogviszony szünetelését követően nem kezdi meg tanulmányait,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feltéve, hogy a hallgatót előzetesen írásban felhívták arra, hogy kötelezettségének a megadott határidőig tegyen eleget és tájékoztatták a mulasztás jogkövetkezményeiről.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felsőoktatási intézmény egyoldalú nyilatkozattal megszünteti annak a hallgatónak a hallgatói jogviszonyát, akinek az azonos tanegységből tett sikertelen javító, és ismétlő javító vizsgáinak összesített száma eléri az ötöt.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(5) Amennyiben a hallgatói jogviszony keretében a hallgató ugyanazon intézményben több szakon folytat tanulmányokat, e §-ban foglaltakat azzal az eltéréssel kell alkalmazni, hogy a hallgatói jogviszony megszűnése helyett az adott szakon való tanulmányok nem folytathatók.</w:t>
      </w:r>
    </w:p>
    <w:p w:rsidR="00470BDB" w:rsidRDefault="00470BDB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33A" w:rsidRPr="00F27445" w:rsidRDefault="0090233A" w:rsidP="0090233A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A62DD3" w:rsidRPr="00A62DD3" w:rsidRDefault="0090233A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HALLGATÓK KÖZÖSSÉGEI, A HALLGATÓI ÖNKORMÁNYZATOK, A HALLGATÓK ORSZÁGOS KÉPVISELETE</w:t>
      </w:r>
    </w:p>
    <w:p w:rsidR="00A62DD3" w:rsidRPr="0090233A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hallgatói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önkormányzat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60. § (1) A felsőoktatási intézményekben a hallgatói érdekek képviseletére - a felsőoktatási intézmény részeként - hallgatói önkormányzat működik. A hallgatói önkormányzatnak - a 63. §-ban meghatározott kivétellel - minden hallgató tagja, választó és választható. A hallgatói önkormányzat az e törvényben meghatározott jogosítványait akkor gyakorolhatja, ha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a) megválasztotta tisztségviselőit, és jóváhagyták az alapszabályát, és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b) a hallgatói önkormányzati választásokon a felsőoktatási intézmény teljes idejű nappali képzésben részt vevő hallgatóinak legalább huszonöt százaléka igazoltan részt vett.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(2) A hallgatói önkormányzat alapszabálya határozza meg a hallgatói önkormányzat működésének a rendjét. Az alapszabályt a hallgatói önkormányzat küldöttgyűlése fogadja el, és a szenátus jóváhagyásával válik érvényessé. Az alapszabály jóváhagyásáról a szenátusnak legkésőbb a beterjesztést követő harmincadik nap eltelte utáni első ülésen nyilatkoznia kell.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(2a) A hallgatói önkormányzat tisztségviselője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a) megbízatási ideje - valamennyi hallgatói önkormányzati tisztségének időtartamát egybeszámítva - legfeljebb négy év lehet,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b) nem tölthet be olyan intézményi társaságban vezető tisztségviselői feladatokat, nem lehet tagja a felügyelőbizottságnak, nem láthat el könyvvizsgálói feladatot, amelyet a felsőoktatási intézmény hozott létre, vagy amelyben részesedéssel rendelkezik.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(3) Az alapszabály jóváhagyása csak akkor tagadható meg, ha az jogszabálysértő vagy ellentétes a felsőoktatási intézmény szervezeti és működési szabályzatával. Az alapszabályt, illetve módosítását jóváhagyottnak kell tekinteni, ha a szenátus a meghatározott határidőn belül nem nyilatkozott.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(4) A hallgatói önkormányzat működéséhez és a feladatai elvégzéséhez a felsőoktatási intézmény biztosítja a feltételeket, amelynek jogszerű felhasználását, a hallgatói önkormányzat törvényes működését ellenőrizni köteles. A hallgatói önkormányzat feladatainak ellátásához térítésmentesen használhatja a felsőoktatási intézmény helyiségeit, berendezéseit, ha ezzel nem korlátozza a felsőoktatási intézmény működését.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(5) A hallgatói önkormányzat az e törvényben meghatározott jogainak megsértése esetén - beleértve azt is, ha az alapszabályának jóváhagyását megtagadják - a közléstől számított harminc napon belül jogszabálysértésre vagy intézményi szabályzatban foglaltakba ütközésre hivatkozással bírósághoz fordulhat.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(6) Az (5) bekezdés szerinti határidő jogvesztő. A perre a Fővárosi Közigazgatási és Munkaügyi Bíróság kizárólagosan illetékes. A keresetlevél benyújtásának halasztó hatálya van.</w:t>
      </w:r>
    </w:p>
    <w:p w:rsid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(7) A hallgatói önkormányzat dönt működéséről, a működéséhez biztosított anyagi eszközök, állami támogatás és saját bevételek felhasználásáról, hatáskörei gyakorlásáról, az intézményi tájékoztatási rendszer létrehozásáról és működtetéséről. A hallgatói önkormányzat részére érdekképviseleti tevékenysége körében utasítás nem adható.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61. § (1) A hallgatói önkormányzat egyetértési jogot gyakorol a szervezeti és működési szabályzat elfogadásakor és módosításakor, az alábbi körben: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a) térítési és juttatási szabályzat,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b) az oktatói munka hallgatói véleményezésének rendje,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c) tanulmányi és vizsgaszabályzat.</w:t>
      </w:r>
    </w:p>
    <w:p w:rsid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DD3">
        <w:rPr>
          <w:rFonts w:ascii="Times New Roman" w:eastAsia="Times New Roman" w:hAnsi="Times New Roman" w:cs="Times New Roman"/>
          <w:bCs/>
          <w:sz w:val="24"/>
          <w:szCs w:val="24"/>
        </w:rPr>
        <w:t>(2) A hallgatói önkormányzat közreműködik az oktatók oktatói tevékenységének hallgatói véleményezésében, továbbá egyetértési jogot gyakorol az ifjúságpolitikai és hallgatói célokra biztosított pénzeszközök felhasználásakor.</w:t>
      </w:r>
    </w:p>
    <w:p w:rsid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2DD3" w:rsidRPr="00F27445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A62DD3" w:rsidRPr="00A62DD3" w:rsidRDefault="00A62DD3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DÍJMENTESEN ÉS A TÉRÍTÉSI DÍJÉRT IGÉNYBE VEHETŐ SZOLGÁLTATÁSOK</w:t>
      </w:r>
    </w:p>
    <w:p w:rsidR="00470BDB" w:rsidRPr="00F27445" w:rsidRDefault="00F27445" w:rsidP="00A62DD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49. A magyar állami (rész)ösztöndíjjal támogatott képzés díjmentes szolgáltatásai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81. § (1) A magyar állami (rész)ösztöndíjjal támogatott képzés keretében a hallgató által igénybe vehető szolgáltatások a következők: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 képzési programban meghatározott oktatási és tanulmányi követelmények teljesítéséhez, az oklevél, illetve doktori abszolutórium megszerzéséhez szükséges előadások, szemináriumok, konzultációk, gyakorlati foglalkozások, terepgyakorlatok első alkalommal történő felvétele, a beszámolók, vizsgák és a sikertelen beszámolók, illetve vizsgák egy alkalommal történő megismétlése, a záróvizsga letétele, továbbá a fokozatszerzési eljárás a hallgatói jogviszony fennállása alatt,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szakkollégiumi foglalkozások,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c) a felsőoktatási intézmény létesítményeinek – könyvtár és a könyvtári alapszolgáltatások, laboratórium, számítástechnikai, sport- és szabadidős létesítmények –, eszközeinek használata az ingyenes szolgáltatásokhoz kapcsolódóan,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d) a felsőoktatási szakképzésben a gyakorlati képzéshez biztosított munkaruha, egyéni védőfelszerelés (védőruha) és tisztálkodási eszköz, más képzésben az egyéni védőfelszerelés (védőruha) és tisztálkodási eszköz,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e) a hallgatói tanácsadás,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f) a képzéssel, illetve doktori fokozatszerzéssel kapcsolatos valamennyi okirat első alkalommal történő kiadása, amennyiben kormányrendelet a hallgatóra kedvezőbb feltételt nem állapít meg.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magyar állami (rész)ösztöndíjjal támogatott képzés keretében – jogszabály eltérő rendelkezésének hiányában – a felsőoktatási intézmény nem kérhet igazgatási szolgáltatási díjat (pl. beiratkozási díj).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50. A magyar állami (rész)ösztöndíjjal támogatott képzés térítési díj fizetése mellett igénybe vehető szolgáltatásai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82. § (1) A magyar állami (rész)ösztöndíjjal támogatott képzés keretében a hallgató által térítési díj fizetése mellett igénybe vehető: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a) az alap- és mesterképzés tantervében magyar nyelven meghatározott, magyar nyelven oktatott ismereteknek – a hallgató választása alapján – nem magyar nyelven történő oktatása, ide nem értve azt, ha a tanterv idegen nyelven kötelezően teljesítendő tanulmányi követelményt tartalmaz,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b) a felsőoktatási intézmény eszközeivel előállított, a felsőoktatási intézmény által a hallgató részére biztosított, a hallgató tulajdonába kerülő dolog (pl. sokszorosított segédletek),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lastRenderedPageBreak/>
        <w:t>c) a felsőoktatási intézmény létesítményeinek (könyvtár, laboratórium, számítástechnikai, sport- és szabadidős létesítmények), eszközeinek használata az ingyenes szolgáltatásokon kívüli körben,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d) a kötelező, illetve e törvény alapján a felsőoktatási intézmény által kötelezően biztosítandó mértéken felül felvehető kreditértéket eredményező képzés.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felsőoktatási intézmény tanulmányi és vizsgaszabályzata az ugyanabból a tantárgyból tett harmadik és további vizsgát, előadások, szemináriumok, konzultációk, gyakorlati foglalkozások, terepgyakorlatok ismételt felvételét, a térítési és juttatási szabályzata a tanulmányi és vizsgaszabályzatban meghatározott kötelezettség elmulasztását vagy késedelmes teljesítését fizetési kötelezettséghez kötheti. A fizetési kötelezettség mértéke esetenként nem haladhatja meg teljes munkaidőre megállapított kötelező legkisebb munkabér (minimálbér) öt százalékát.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Az (</w:t>
      </w:r>
      <w:proofErr w:type="gramStart"/>
      <w:r w:rsidRPr="00F27445">
        <w:rPr>
          <w:rFonts w:ascii="Times New Roman" w:eastAsia="Times New Roman" w:hAnsi="Times New Roman" w:cs="Times New Roman"/>
          <w:sz w:val="24"/>
          <w:szCs w:val="24"/>
        </w:rPr>
        <w:t>1)–</w:t>
      </w:r>
      <w:proofErr w:type="gramEnd"/>
      <w:r w:rsidRPr="00F27445">
        <w:rPr>
          <w:rFonts w:ascii="Times New Roman" w:eastAsia="Times New Roman" w:hAnsi="Times New Roman" w:cs="Times New Roman"/>
          <w:sz w:val="24"/>
          <w:szCs w:val="24"/>
        </w:rPr>
        <w:t>(2) bekezdés alapján kérhető térítési díj megállapításának rendjét a térítési és juttatási szabályzatban kell meghatározni, azzal a megkötéssel, hogy annak kumulált összege – az (1) bekezdés a) pontban foglalt szolgáltatás figyelembevétele nélkül – nem lehet magasabb, mint az önköltség fele.</w:t>
      </w:r>
    </w:p>
    <w:p w:rsidR="00470BDB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magyar állami (rész)ösztöndíjjal támogatott hallgató a vendéghallgatói jogviszonyának keretében is a 81. §-ban és az (</w:t>
      </w:r>
      <w:proofErr w:type="gramStart"/>
      <w:r w:rsidRPr="00F27445">
        <w:rPr>
          <w:rFonts w:ascii="Times New Roman" w:eastAsia="Times New Roman" w:hAnsi="Times New Roman" w:cs="Times New Roman"/>
          <w:sz w:val="24"/>
          <w:szCs w:val="24"/>
        </w:rPr>
        <w:t>1)–</w:t>
      </w:r>
      <w:proofErr w:type="gramEnd"/>
      <w:r w:rsidRPr="00F27445">
        <w:rPr>
          <w:rFonts w:ascii="Times New Roman" w:eastAsia="Times New Roman" w:hAnsi="Times New Roman" w:cs="Times New Roman"/>
          <w:sz w:val="24"/>
          <w:szCs w:val="24"/>
        </w:rPr>
        <w:t>(3) bekezdésben meghatározottak szerint vehet részt az oktatásban.</w:t>
      </w:r>
    </w:p>
    <w:p w:rsidR="00407E73" w:rsidRDefault="00407E73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E73" w:rsidRPr="00F27445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407E73" w:rsidRPr="00407E73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Z ÖNKÖLTSÉG-FIZETÉSI KÖTELEZETTSÉG</w:t>
      </w:r>
    </w:p>
    <w:p w:rsidR="00407E73" w:rsidRPr="00F27445" w:rsidRDefault="00407E73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51. A önköltséges képzés önköltség-fizetés, illetve térítési díjfizetés ellenében igénybe vehető szolgáltatásai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83. § (1) Ha a hallgató önköltséges képzésben vesz részt, a 81. § (1)–(2) bekezdésében meghatározottakért önköltséget, a 82. § (1)–(2) bekezdésben </w:t>
      </w:r>
      <w:proofErr w:type="spellStart"/>
      <w:r w:rsidRPr="00F27445">
        <w:rPr>
          <w:rFonts w:ascii="Times New Roman" w:eastAsia="Times New Roman" w:hAnsi="Times New Roman" w:cs="Times New Roman"/>
          <w:sz w:val="24"/>
          <w:szCs w:val="24"/>
        </w:rPr>
        <w:t>felsoroltakért</w:t>
      </w:r>
      <w:proofErr w:type="spellEnd"/>
      <w:r w:rsidRPr="00F27445">
        <w:rPr>
          <w:rFonts w:ascii="Times New Roman" w:eastAsia="Times New Roman" w:hAnsi="Times New Roman" w:cs="Times New Roman"/>
          <w:sz w:val="24"/>
          <w:szCs w:val="24"/>
        </w:rPr>
        <w:t xml:space="preserve"> térítési díjat kell fizetnie.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(2) A térítési díj megállapításának rendjét a térítési és juttatási szabályzatban kell meghatározni, amely alapján a hallgató és a felsőoktatási intézmény megállapodásban rögzíti a térítési díj összegét.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(3) Vissza kell fizetni a befizetett önköltség szervezeti és működési szabályzatban meghatározott arányos részét, ha a hallgató a szervezeti és működési szabályzatban meghatározott időpontig bejelenti, hogy megszünteti vagy szünetelteti hallgatói jogviszonyát.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(4) A szervezeti és működési szabályzatban kell meghatározni azokat a szabályokat, amelyek alapján a rektor dönt az önköltséges képzésben részt vevő hallgató esetén a tanulmányi eredmények alapján járó és a szociális helyzet alapján adható kedvezményekről, a részletfizetés engedélyezéséről.</w:t>
      </w:r>
    </w:p>
    <w:p w:rsidR="00470BDB" w:rsidRPr="00F27445" w:rsidRDefault="00F27445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sz w:val="24"/>
          <w:szCs w:val="24"/>
        </w:rPr>
        <w:t>(5) A felsőoktatási intézmény a szerződő fél által megjelölt személyekkel hallgatói jogviszony létesítése céljából megállapodást köthet. Ilyen megállapodás alapján hallgatói jogviszony azzal létesíthető, aki egyébként az e törvényben meghatározott feltételeknek megfelel. A megállapodásban ki kell kötni, hogy a hallgatók képzésével kapcsolatos valamennyi költséget a szerződő fél fizeti ki.</w:t>
      </w:r>
    </w:p>
    <w:p w:rsidR="00407E73" w:rsidRDefault="00407E73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E73" w:rsidRPr="00F27445" w:rsidRDefault="00407E73">
      <w:pPr>
        <w:pBdr>
          <w:left w:val="none" w:sz="0" w:space="11" w:color="auto"/>
          <w:right w:val="none" w:sz="0" w:space="11" w:color="auto"/>
        </w:pBd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E73" w:rsidRPr="00F27445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XXI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F27445">
        <w:rPr>
          <w:rFonts w:ascii="Times New Roman" w:eastAsia="Times New Roman" w:hAnsi="Times New Roman" w:cs="Times New Roman"/>
          <w:b/>
          <w:sz w:val="28"/>
          <w:szCs w:val="28"/>
        </w:rPr>
        <w:t>. FEJEZET</w:t>
      </w:r>
    </w:p>
    <w:p w:rsidR="00407E73" w:rsidRPr="00407E73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FELSŐOKTATÁS FINANSZÍROZÁSÁNAK ELVEI</w:t>
      </w:r>
    </w:p>
    <w:p w:rsidR="00407E73" w:rsidRPr="00F27445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 xml:space="preserve">.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felsőoktatás támogatásának célja</w:t>
      </w:r>
    </w:p>
    <w:p w:rsidR="00470BDB" w:rsidRDefault="00470B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84. § (1) A felsőoktatási intézmény működéséhez a fenntartó biztosít támogatást. Az éves költségvetésről szóló törvény állapítja meg a felsőoktatás állami támogatását. A felsőoktatási intézmények működéséhez biztosított állami támogatás rendszerét a Kormány határozza meg. A felsőoktatási intézmény részére pályázati úton, valamint megállapodás alapján is adható támogatás.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(2) Az állami támogatás célja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a) a hallgatói juttatások,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b) a felsőoktatási intézmény 2. § (1) bekezdése szerinti alaptevékenységének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e) a hallgatói sport,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f) egyes speciális felsőoktatási feladatok ellátásának,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g) a 10. § szerint minősített intézmények támogatásának,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h) kulturális és fejlesztési támogatások</w:t>
      </w:r>
    </w:p>
    <w:p w:rsid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biztosítása.</w:t>
      </w:r>
    </w:p>
    <w:p w:rsid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3" w:rsidRPr="00F27445" w:rsidRDefault="00407E73" w:rsidP="00407E73">
      <w:pPr>
        <w:pBdr>
          <w:left w:val="none" w:sz="0" w:space="11" w:color="auto"/>
          <w:right w:val="none" w:sz="0" w:space="11" w:color="auto"/>
        </w:pBd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2744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felsőoktatás működésének támogatását szolgáló külön rendelkezések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85/A. § (1) A 84. § (2) bekezdés a) pontja szerinti hallgatói juttatások éves összegét: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a) a hallgatói normatíva,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b) a doktori képzésben részt vevők egy főre megállapított támogatása,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c) a nemzeti felsőoktatási ösztöndíjban részesülők normatívája,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d) a kollégiumi-diákotthoni elhelyezés normatívája,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e) a lakhatási támogatás normatívája,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f) a tankönyv- és jegyzettámogatás, valamint a sport- és kulturális tevékenység normatívája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alapján kell megállapítani.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(2) A hallgatói juttatásokhoz nyújtott támogatást az államilag támogatott képzésben részt vevő, valamint a magyar állami (rész)ösztöndíjjal támogatott - a hallgatói juttatásokra való jogosultság szempontjából figyelembe vehető - hallgatók létszáma alapján kell megállapítani.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(3) A magyar állami részösztöndíjas hallgatót - a magyar állami ösztöndíjas hallgatóval azonos mértékben - a jogosultság megállapításakor 1,0-es szorzóval kell figyelembe venni.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85/B. § (1) A hallgató részére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a) teljesítmény alapú támogatás,</w:t>
      </w:r>
    </w:p>
    <w:p w:rsid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b) szociális alapú támogatás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85/C. § A felsőoktatási intézmény a hallgatói juttatásokhoz rendelkezésre álló forrásokat a következő jogcímeken használhatja fel: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a) teljesítmény alapú ösztöndíj kifizetésére, mely lehet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tanulmányi ösztöndíj,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ab) nemzeti felsőoktatási ösztöndíj,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intézményi szakmai, tudományos és közéleti ösztöndíj;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b) szociális alapú ösztöndíj kifizetésére, mely lehet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rendszeres szociális ösztöndíj,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rendkívüli szociális ösztöndíj,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bc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Bursa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 xml:space="preserve"> Hungarica Felsőoktatási Önkormányzati Ösztöndíj intézményi része,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a külföldi hallgatók miniszteri ösztöndíja,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be) alaptámogatás,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lastRenderedPageBreak/>
        <w:t>bf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szakmai gyakorlaton való részvétel támogatása;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c) doktorandusz ösztöndíj kifizetésére,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d) egyéb, a felsőoktatási intézmény térítési és juttatási szabályzatában meghatározott ösztöndíj, valamint a magyar állami (rész)ösztöndíjas képzésben részt vevők, különösen a hátrányos helyzetű hallgatók, sportolók tanulmányi költségeit kiegészítő ösztöndíjak kifizetésére,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e) az intézményi működési költségek finanszírozására, mely lehet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a jegyzet-előállítás támogatása, elektronikus tankönyvek, tananyagok és a felkészüléshez szükséges elektronikus eszközök beszerzése, valamint a fogyatékossággal élő hallgatók tanulmányait segítő eszközök beszerzése,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73">
        <w:rPr>
          <w:rFonts w:ascii="Times New Roman" w:eastAsia="Times New Roman" w:hAnsi="Times New Roman" w:cs="Times New Roman"/>
          <w:sz w:val="24"/>
          <w:szCs w:val="24"/>
        </w:rPr>
        <w:t>eb) a kulturális tevékenység, valamint a sporttevékenység támogatása,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ec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kollégium fenntartása, működtetése,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kollégiumi férőhely bérlése, kollégiumi felújítás,</w:t>
      </w:r>
    </w:p>
    <w:p w:rsidR="00407E73" w:rsidRPr="00407E73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a hallgatói, valamint a doktori önkormányzatok működésének támogatása,</w:t>
      </w:r>
    </w:p>
    <w:p w:rsidR="00407E73" w:rsidRPr="00F27445" w:rsidRDefault="00407E73" w:rsidP="0040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73">
        <w:rPr>
          <w:rFonts w:ascii="Times New Roman" w:eastAsia="Times New Roman" w:hAnsi="Times New Roman" w:cs="Times New Roman"/>
          <w:sz w:val="24"/>
          <w:szCs w:val="24"/>
        </w:rPr>
        <w:t>ef</w:t>
      </w:r>
      <w:proofErr w:type="spellEnd"/>
      <w:r w:rsidRPr="00407E73">
        <w:rPr>
          <w:rFonts w:ascii="Times New Roman" w:eastAsia="Times New Roman" w:hAnsi="Times New Roman" w:cs="Times New Roman"/>
          <w:sz w:val="24"/>
          <w:szCs w:val="24"/>
        </w:rPr>
        <w:t>) a hallgatói tanácsadó szervezetek működésének támogatása.</w:t>
      </w:r>
    </w:p>
    <w:sectPr w:rsidR="00407E73" w:rsidRPr="00F2744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57C30"/>
    <w:multiLevelType w:val="hybridMultilevel"/>
    <w:tmpl w:val="DCD0B7E8"/>
    <w:lvl w:ilvl="0" w:tplc="B672A6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BE30589"/>
    <w:multiLevelType w:val="hybridMultilevel"/>
    <w:tmpl w:val="D8525C4A"/>
    <w:lvl w:ilvl="0" w:tplc="16C6220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BDB"/>
    <w:rsid w:val="001A5A11"/>
    <w:rsid w:val="00287AF0"/>
    <w:rsid w:val="00312064"/>
    <w:rsid w:val="00407E73"/>
    <w:rsid w:val="00470BDB"/>
    <w:rsid w:val="00674D37"/>
    <w:rsid w:val="00764058"/>
    <w:rsid w:val="0090233A"/>
    <w:rsid w:val="00966737"/>
    <w:rsid w:val="009E3658"/>
    <w:rsid w:val="00A62DD3"/>
    <w:rsid w:val="00AB574B"/>
    <w:rsid w:val="00AC1924"/>
    <w:rsid w:val="00F27445"/>
    <w:rsid w:val="00F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FC31"/>
  <w15:docId w15:val="{645E6576-4D3B-4B3B-AF75-27D2CA43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Listaszerbekezds">
    <w:name w:val="List Paragraph"/>
    <w:basedOn w:val="Norml"/>
    <w:uiPriority w:val="34"/>
    <w:qFormat/>
    <w:rsid w:val="00AC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20</Pages>
  <Words>6796</Words>
  <Characters>46896</Characters>
  <Application>Microsoft Office Word</Application>
  <DocSecurity>0</DocSecurity>
  <Lines>390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Zsombor</cp:lastModifiedBy>
  <cp:revision>7</cp:revision>
  <dcterms:created xsi:type="dcterms:W3CDTF">2019-01-16T10:31:00Z</dcterms:created>
  <dcterms:modified xsi:type="dcterms:W3CDTF">2020-01-12T19:40:00Z</dcterms:modified>
</cp:coreProperties>
</file>