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B0D" w:rsidRPr="005732B5" w:rsidRDefault="00A337DC">
      <w:pPr>
        <w:shd w:val="clear" w:color="auto" w:fill="FFFFFF"/>
        <w:spacing w:after="280"/>
        <w:jc w:val="center"/>
        <w:rPr>
          <w:rFonts w:ascii="Times New Roman" w:eastAsia="Teko" w:hAnsi="Times New Roman" w:cs="Times New Roman"/>
          <w:b/>
          <w:color w:val="000000"/>
          <w:sz w:val="40"/>
          <w:szCs w:val="40"/>
        </w:rPr>
      </w:pPr>
      <w:r w:rsidRPr="005732B5">
        <w:rPr>
          <w:rFonts w:ascii="Times New Roman" w:eastAsia="Teko" w:hAnsi="Times New Roman" w:cs="Times New Roman"/>
          <w:b/>
          <w:color w:val="000000"/>
          <w:sz w:val="40"/>
          <w:szCs w:val="40"/>
        </w:rPr>
        <w:t>BME VIK Hallgatói Képviselet</w:t>
      </w:r>
    </w:p>
    <w:p w:rsidR="00024B0D" w:rsidRPr="005732B5" w:rsidRDefault="00A337DC">
      <w:pPr>
        <w:shd w:val="clear" w:color="auto" w:fill="FFFFFF"/>
        <w:spacing w:after="150"/>
        <w:jc w:val="center"/>
        <w:rPr>
          <w:rFonts w:ascii="Times New Roman" w:eastAsia="Teko" w:hAnsi="Times New Roman" w:cs="Times New Roman"/>
          <w:b/>
          <w:color w:val="000000"/>
          <w:sz w:val="40"/>
          <w:szCs w:val="40"/>
        </w:rPr>
      </w:pPr>
      <w:r w:rsidRPr="005732B5">
        <w:rPr>
          <w:rFonts w:ascii="Times New Roman" w:eastAsia="Teko" w:hAnsi="Times New Roman" w:cs="Times New Roman"/>
          <w:b/>
          <w:color w:val="000000"/>
          <w:sz w:val="40"/>
          <w:szCs w:val="40"/>
        </w:rPr>
        <w:t>Kar Kiváló (Online) Oktatója Díj és</w:t>
      </w:r>
      <w:r w:rsidRPr="005732B5">
        <w:rPr>
          <w:rFonts w:ascii="Times New Roman" w:eastAsia="Teko" w:hAnsi="Times New Roman" w:cs="Times New Roman"/>
          <w:b/>
          <w:color w:val="000000"/>
          <w:sz w:val="40"/>
          <w:szCs w:val="40"/>
        </w:rPr>
        <w:br/>
        <w:t>Kar Kiváló Fiatal (Online) Oktatója Díj Pályázati kiírás 2020</w:t>
      </w:r>
    </w:p>
    <w:p w:rsidR="00024B0D" w:rsidRPr="005732B5" w:rsidRDefault="00A337DC">
      <w:pPr>
        <w:shd w:val="clear" w:color="auto" w:fill="FFFFFF"/>
        <w:spacing w:after="150"/>
        <w:jc w:val="both"/>
        <w:rPr>
          <w:rFonts w:ascii="Times New Roman" w:eastAsia="Teko" w:hAnsi="Times New Roman" w:cs="Times New Roman"/>
          <w:color w:val="000000"/>
          <w:sz w:val="24"/>
          <w:szCs w:val="24"/>
        </w:rPr>
      </w:pP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A Budapest Műszaki és Gazdaságtudományi Egyetem Villamosmérnöki és Informatika Karának Hallgatói Képviselete 2008 tavaszán alapította meg a Kar Kiváló Oktatója és a Kar Kiváló Fiatal Oktatója kitüntetést. A kitüntetés célja, hogy a hallgatók ezen díjak ált</w:t>
      </w: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al ismerjék el és köszönjék meg az általuk legkiválóbbnak minősített oktatók oktatási tevékenységét.</w:t>
      </w:r>
    </w:p>
    <w:p w:rsidR="00024B0D" w:rsidRPr="005732B5" w:rsidRDefault="00A337DC">
      <w:pPr>
        <w:shd w:val="clear" w:color="auto" w:fill="FFFFFF"/>
        <w:spacing w:after="150"/>
        <w:jc w:val="both"/>
        <w:rPr>
          <w:rFonts w:ascii="Times New Roman" w:eastAsia="Teko" w:hAnsi="Times New Roman" w:cs="Times New Roman"/>
          <w:color w:val="000000"/>
          <w:sz w:val="24"/>
          <w:szCs w:val="24"/>
        </w:rPr>
      </w:pP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A Kar Kiváló Oktatója Díj odaítélhető bármely, a Kar hallgatóit oktató és tudományos fokozattal rendelkező, az Egyetemmel és Kar valamelyik tanszékével mun</w:t>
      </w: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kaviszonyban álló oktatónak. A Kar Kiváló Fiatal Oktatója Díj odaítélhető bármely, a Kar hallgatóit oktató, legfeljebb 40. életévét betöltött, az Egyetemmel és a Kar valamelyik tanszékével munkaviszonyban álló oktatónak. </w:t>
      </w:r>
    </w:p>
    <w:p w:rsidR="00024B0D" w:rsidRPr="005732B5" w:rsidRDefault="00A337DC">
      <w:pPr>
        <w:shd w:val="clear" w:color="auto" w:fill="FFFFFF"/>
        <w:spacing w:after="150"/>
        <w:jc w:val="both"/>
        <w:rPr>
          <w:rFonts w:ascii="Times New Roman" w:eastAsia="Teko" w:hAnsi="Times New Roman" w:cs="Times New Roman"/>
          <w:color w:val="000000"/>
          <w:sz w:val="24"/>
          <w:szCs w:val="24"/>
        </w:rPr>
      </w:pP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Idén a különös helyzetre való teki</w:t>
      </w: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ntettel, ideiglenesen, remélhetőleg először és utoljára módosítjuk a díjak nevét. A díjak azonban minden tekintetben megegyeznek a korábban átadott és fentebb bemutatott díjakkal.</w:t>
      </w:r>
    </w:p>
    <w:p w:rsidR="00024B0D" w:rsidRPr="005732B5" w:rsidRDefault="00A337DC">
      <w:pPr>
        <w:shd w:val="clear" w:color="auto" w:fill="FFFFFF"/>
        <w:spacing w:after="0"/>
        <w:jc w:val="both"/>
        <w:rPr>
          <w:rFonts w:ascii="Times New Roman" w:eastAsia="Teko" w:hAnsi="Times New Roman" w:cs="Times New Roman"/>
          <w:color w:val="5B9BD5"/>
          <w:sz w:val="24"/>
          <w:szCs w:val="24"/>
        </w:rPr>
      </w:pPr>
      <w:r w:rsidRPr="005732B5">
        <w:rPr>
          <w:rFonts w:ascii="Times New Roman" w:eastAsia="Teko" w:hAnsi="Times New Roman" w:cs="Times New Roman"/>
          <w:b/>
          <w:color w:val="5B9BD5"/>
          <w:sz w:val="24"/>
          <w:szCs w:val="24"/>
        </w:rPr>
        <w:t>A díj odaítélésnek menete:</w:t>
      </w:r>
    </w:p>
    <w:p w:rsidR="00024B0D" w:rsidRPr="005732B5" w:rsidRDefault="00A337DC">
      <w:pPr>
        <w:shd w:val="clear" w:color="auto" w:fill="FFFFFF"/>
        <w:spacing w:after="0"/>
        <w:ind w:left="165"/>
        <w:jc w:val="both"/>
        <w:rPr>
          <w:rFonts w:ascii="Times New Roman" w:eastAsia="Teko" w:hAnsi="Times New Roman" w:cs="Times New Roman"/>
          <w:color w:val="2E75B5"/>
          <w:sz w:val="24"/>
          <w:szCs w:val="24"/>
        </w:rPr>
      </w:pPr>
      <w:r w:rsidRPr="005732B5">
        <w:rPr>
          <w:rFonts w:ascii="Times New Roman" w:eastAsia="Teko" w:hAnsi="Times New Roman" w:cs="Times New Roman"/>
          <w:b/>
          <w:color w:val="2E75B5"/>
          <w:sz w:val="24"/>
          <w:szCs w:val="24"/>
        </w:rPr>
        <w:t>Jelölés</w:t>
      </w:r>
      <w:r w:rsidRPr="005732B5">
        <w:rPr>
          <w:rFonts w:ascii="Times New Roman" w:eastAsia="Teko" w:hAnsi="Times New Roman" w:cs="Times New Roman"/>
          <w:color w:val="2E75B5"/>
          <w:sz w:val="24"/>
          <w:szCs w:val="24"/>
        </w:rPr>
        <w:t> </w:t>
      </w:r>
    </w:p>
    <w:p w:rsidR="00024B0D" w:rsidRPr="005732B5" w:rsidRDefault="00A337DC">
      <w:pPr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A kitüntetésre a Kar bármely hallgatója </w:t>
      </w: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jelölhet oktatókat. </w:t>
      </w:r>
    </w:p>
    <w:p w:rsidR="00024B0D" w:rsidRPr="005732B5" w:rsidRDefault="00A337DC">
      <w:pPr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A javaslatok leadása az alábbi </w:t>
      </w:r>
      <w:proofErr w:type="spellStart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Form</w:t>
      </w:r>
      <w:proofErr w:type="spellEnd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 kitöltésével lehetséges 2020. június 14. vasárnap 23:59-ig: </w:t>
      </w:r>
      <w:hyperlink r:id="rId7">
        <w:r w:rsidRPr="005732B5">
          <w:rPr>
            <w:rFonts w:ascii="Times New Roman" w:eastAsia="Teko" w:hAnsi="Times New Roman" w:cs="Times New Roman"/>
            <w:color w:val="0563C1"/>
            <w:sz w:val="24"/>
            <w:szCs w:val="24"/>
            <w:u w:val="single"/>
          </w:rPr>
          <w:t>https://forms.gle/937GuC7wgbtmihmX9</w:t>
        </w:r>
      </w:hyperlink>
    </w:p>
    <w:p w:rsidR="00024B0D" w:rsidRPr="005732B5" w:rsidRDefault="00A337DC">
      <w:pPr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A javaslatok a Kiváló Oktató díjakra tartalmazzák a jelölt nevét és tanszékét, az általa oktatott tantárgy(</w:t>
      </w:r>
      <w:proofErr w:type="spellStart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ak</w:t>
      </w:r>
      <w:proofErr w:type="spellEnd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)</w:t>
      </w:r>
      <w:proofErr w:type="spellStart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at</w:t>
      </w:r>
      <w:proofErr w:type="spellEnd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, továbbá azonos tantárgynevek esetén a szakot is, azt, hogy melyik díjra jelölik, valamint egy néhány soros indoklást. </w:t>
      </w:r>
    </w:p>
    <w:p w:rsidR="00024B0D" w:rsidRPr="005732B5" w:rsidRDefault="00A337DC">
      <w:pPr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Az indoklás karakterszá</w:t>
      </w: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ma szóközökkel együtt ne haladja meg az 500 karaktert. Az indoklást az oktatóra és nem a jelölő hallgatóra szabottan kérjük megírni. </w:t>
      </w:r>
    </w:p>
    <w:p w:rsidR="00024B0D" w:rsidRPr="005732B5" w:rsidRDefault="00A337DC">
      <w:pPr>
        <w:numPr>
          <w:ilvl w:val="1"/>
          <w:numId w:val="1"/>
        </w:num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Rossz példa: „</w:t>
      </w:r>
      <w:r w:rsidRPr="005732B5">
        <w:rPr>
          <w:rFonts w:ascii="Times New Roman" w:eastAsia="Teko" w:hAnsi="Times New Roman" w:cs="Times New Roman"/>
          <w:i/>
          <w:color w:val="000000"/>
          <w:sz w:val="24"/>
          <w:szCs w:val="24"/>
        </w:rPr>
        <w:t>Nagyon hálás vagyok neki, mert engem kivételesen kettessel átengedett a legutolsó vizsgán.</w:t>
      </w: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”</w:t>
      </w:r>
    </w:p>
    <w:p w:rsidR="00024B0D" w:rsidRPr="005732B5" w:rsidRDefault="00A337DC">
      <w:pPr>
        <w:numPr>
          <w:ilvl w:val="1"/>
          <w:numId w:val="1"/>
        </w:num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Jó példa: „</w:t>
      </w:r>
      <w:r w:rsidRPr="005732B5">
        <w:rPr>
          <w:rFonts w:ascii="Times New Roman" w:eastAsia="Teko" w:hAnsi="Times New Roman" w:cs="Times New Roman"/>
          <w:i/>
          <w:color w:val="000000"/>
          <w:sz w:val="24"/>
          <w:szCs w:val="24"/>
        </w:rPr>
        <w:t>Manci</w:t>
      </w:r>
      <w:r w:rsidRPr="005732B5">
        <w:rPr>
          <w:rFonts w:ascii="Times New Roman" w:eastAsia="Teko" w:hAnsi="Times New Roman" w:cs="Times New Roman"/>
          <w:i/>
          <w:color w:val="000000"/>
          <w:sz w:val="24"/>
          <w:szCs w:val="24"/>
        </w:rPr>
        <w:t xml:space="preserve"> közvetlen a hallgatókkal, a feltett kérdésekre kedvesen és mindenki által érthetően válaszol.”</w:t>
      </w:r>
    </w:p>
    <w:p w:rsidR="00024B0D" w:rsidRPr="005732B5" w:rsidRDefault="00A337DC">
      <w:pPr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A legutóbbi 3 év díjazottjai nem jelölhetőek!</w:t>
      </w:r>
    </w:p>
    <w:p w:rsidR="00024B0D" w:rsidRPr="005732B5" w:rsidRDefault="00A337DC">
      <w:pPr>
        <w:shd w:val="clear" w:color="auto" w:fill="FFFFFF"/>
        <w:spacing w:after="0"/>
        <w:ind w:left="165"/>
        <w:rPr>
          <w:rFonts w:ascii="Times New Roman" w:eastAsia="Teko" w:hAnsi="Times New Roman" w:cs="Times New Roman"/>
          <w:color w:val="2E75B5"/>
          <w:sz w:val="24"/>
          <w:szCs w:val="24"/>
        </w:rPr>
      </w:pPr>
      <w:r w:rsidRPr="005732B5">
        <w:rPr>
          <w:rFonts w:ascii="Times New Roman" w:eastAsia="Teko" w:hAnsi="Times New Roman" w:cs="Times New Roman"/>
          <w:b/>
          <w:color w:val="2E75B5"/>
          <w:sz w:val="24"/>
          <w:szCs w:val="24"/>
        </w:rPr>
        <w:t>Szavazás</w:t>
      </w:r>
    </w:p>
    <w:p w:rsidR="00024B0D" w:rsidRPr="005732B5" w:rsidRDefault="00A337DC">
      <w:pPr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A beérkezett jelöltekre 2020. június 15. hétfő 12:00-tól lehet szavazni elektronikusan a kko.vik.hk weboldalon 2020. június 30. kedd 23:59-ig. </w:t>
      </w:r>
    </w:p>
    <w:p w:rsidR="00024B0D" w:rsidRPr="005732B5" w:rsidRDefault="00A337DC">
      <w:pPr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A Hallgatói Képviselet a kitüntetéseket a szavazás eredménye alapján ítéli oda. </w:t>
      </w:r>
    </w:p>
    <w:p w:rsidR="00024B0D" w:rsidRPr="005732B5" w:rsidRDefault="00A337DC">
      <w:pPr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A kitüntetések átadására ünnepé</w:t>
      </w: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lyes keretek között, az ünnepi Kari Tanács ülésének keretében kerül sor. </w:t>
      </w:r>
    </w:p>
    <w:p w:rsidR="00024B0D" w:rsidRPr="005732B5" w:rsidRDefault="00A337DC">
      <w:pPr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A kitüntetést a Hallgatói Képviselet elnöke és a Kar dékánja együtt adja át.</w:t>
      </w:r>
    </w:p>
    <w:p w:rsidR="00024B0D" w:rsidRPr="005732B5" w:rsidRDefault="00024B0D">
      <w:pPr>
        <w:shd w:val="clear" w:color="auto" w:fill="FFFFFF"/>
        <w:spacing w:after="0"/>
        <w:ind w:left="525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24B0D" w:rsidRPr="005732B5" w:rsidRDefault="00024B0D">
      <w:pPr>
        <w:jc w:val="center"/>
        <w:rPr>
          <w:rFonts w:ascii="Times New Roman" w:eastAsia="Teko" w:hAnsi="Times New Roman" w:cs="Times New Roman"/>
          <w:b/>
          <w:color w:val="000000"/>
          <w:sz w:val="24"/>
          <w:szCs w:val="24"/>
        </w:rPr>
      </w:pPr>
    </w:p>
    <w:p w:rsidR="005732B5" w:rsidRDefault="005732B5">
      <w:pPr>
        <w:jc w:val="center"/>
        <w:rPr>
          <w:rFonts w:ascii="Times New Roman" w:eastAsia="Teko" w:hAnsi="Times New Roman" w:cs="Times New Roman"/>
          <w:b/>
          <w:color w:val="5B9BD5"/>
          <w:sz w:val="24"/>
          <w:szCs w:val="24"/>
        </w:rPr>
      </w:pPr>
    </w:p>
    <w:p w:rsidR="00024B0D" w:rsidRPr="005732B5" w:rsidRDefault="00A337DC">
      <w:pPr>
        <w:jc w:val="center"/>
        <w:rPr>
          <w:rFonts w:ascii="Times New Roman" w:eastAsia="Teko" w:hAnsi="Times New Roman" w:cs="Times New Roman"/>
          <w:b/>
          <w:sz w:val="24"/>
          <w:szCs w:val="24"/>
        </w:rPr>
      </w:pPr>
      <w:r w:rsidRPr="005732B5">
        <w:rPr>
          <w:rFonts w:ascii="Times New Roman" w:eastAsia="Teko" w:hAnsi="Times New Roman" w:cs="Times New Roman"/>
          <w:b/>
          <w:sz w:val="24"/>
          <w:szCs w:val="24"/>
        </w:rPr>
        <w:t>A korábbi évek kitüntetettjei:</w:t>
      </w:r>
    </w:p>
    <w:p w:rsidR="00024B0D" w:rsidRDefault="00024B0D" w:rsidP="005732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eko" w:hAnsi="Times New Roman" w:cs="Times New Roman"/>
          <w:color w:val="000000"/>
          <w:sz w:val="28"/>
          <w:szCs w:val="28"/>
        </w:rPr>
      </w:pPr>
    </w:p>
    <w:p w:rsidR="005732B5" w:rsidRPr="005732B5" w:rsidRDefault="005732B5" w:rsidP="005732B5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rPr>
          <w:rFonts w:ascii="Times New Roman" w:eastAsia="Teko" w:hAnsi="Times New Roman" w:cs="Times New Roman"/>
          <w:color w:val="000000"/>
          <w:sz w:val="24"/>
          <w:szCs w:val="24"/>
        </w:rPr>
      </w:pP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2008: Recski András, </w:t>
      </w:r>
      <w:proofErr w:type="spellStart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Levendovszky</w:t>
      </w:r>
      <w:proofErr w:type="spellEnd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 Tihamér</w:t>
      </w:r>
    </w:p>
    <w:p w:rsidR="005732B5" w:rsidRPr="005732B5" w:rsidRDefault="005732B5" w:rsidP="005732B5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rPr>
          <w:rFonts w:ascii="Times New Roman" w:eastAsia="Teko" w:hAnsi="Times New Roman" w:cs="Times New Roman"/>
          <w:color w:val="000000"/>
          <w:sz w:val="24"/>
          <w:szCs w:val="24"/>
        </w:rPr>
      </w:pP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2009: </w:t>
      </w:r>
      <w:proofErr w:type="spellStart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Selényi</w:t>
      </w:r>
      <w:proofErr w:type="spellEnd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 Endre, </w:t>
      </w:r>
      <w:proofErr w:type="spellStart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Schlotter</w:t>
      </w:r>
      <w:proofErr w:type="spellEnd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 Ildikó</w:t>
      </w:r>
    </w:p>
    <w:p w:rsidR="005732B5" w:rsidRPr="005732B5" w:rsidRDefault="005732B5" w:rsidP="005732B5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rPr>
          <w:rFonts w:ascii="Times New Roman" w:eastAsia="Teko" w:hAnsi="Times New Roman" w:cs="Times New Roman"/>
          <w:color w:val="000000"/>
          <w:sz w:val="24"/>
          <w:szCs w:val="24"/>
        </w:rPr>
      </w:pP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2010: </w:t>
      </w:r>
      <w:proofErr w:type="spellStart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Veszely</w:t>
      </w:r>
      <w:proofErr w:type="spellEnd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 Gyula, Németh Krisztián</w:t>
      </w:r>
    </w:p>
    <w:p w:rsidR="005732B5" w:rsidRPr="005732B5" w:rsidRDefault="005732B5" w:rsidP="005732B5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rPr>
          <w:rFonts w:ascii="Times New Roman" w:eastAsia="Teko" w:hAnsi="Times New Roman" w:cs="Times New Roman"/>
          <w:color w:val="000000"/>
          <w:sz w:val="24"/>
          <w:szCs w:val="24"/>
        </w:rPr>
      </w:pP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2011: Fehér Béla, </w:t>
      </w:r>
      <w:proofErr w:type="spellStart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Szeszlér</w:t>
      </w:r>
      <w:proofErr w:type="spellEnd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 Dávid</w:t>
      </w:r>
    </w:p>
    <w:p w:rsidR="005732B5" w:rsidRPr="005732B5" w:rsidRDefault="005732B5" w:rsidP="005732B5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rPr>
          <w:rFonts w:ascii="Times New Roman" w:eastAsia="Teko" w:hAnsi="Times New Roman" w:cs="Times New Roman"/>
          <w:color w:val="000000"/>
          <w:sz w:val="24"/>
          <w:szCs w:val="24"/>
        </w:rPr>
      </w:pP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2012: </w:t>
      </w:r>
      <w:proofErr w:type="spellStart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Charaf</w:t>
      </w:r>
      <w:proofErr w:type="spellEnd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Hassan</w:t>
      </w:r>
      <w:proofErr w:type="spellEnd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Czirkos</w:t>
      </w:r>
      <w:proofErr w:type="spellEnd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 Zoltán</w:t>
      </w:r>
      <w:bookmarkStart w:id="0" w:name="_GoBack"/>
      <w:bookmarkEnd w:id="0"/>
    </w:p>
    <w:p w:rsidR="005732B5" w:rsidRPr="005732B5" w:rsidRDefault="005732B5" w:rsidP="005732B5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rPr>
          <w:rFonts w:ascii="Times New Roman" w:eastAsia="Teko" w:hAnsi="Times New Roman" w:cs="Times New Roman"/>
          <w:color w:val="000000"/>
          <w:sz w:val="24"/>
          <w:szCs w:val="24"/>
        </w:rPr>
      </w:pP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2013: </w:t>
      </w:r>
      <w:proofErr w:type="spellStart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Gyimóthy</w:t>
      </w:r>
      <w:proofErr w:type="spellEnd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 Szabolcs, Dudás Levente</w:t>
      </w:r>
    </w:p>
    <w:p w:rsidR="005732B5" w:rsidRPr="005732B5" w:rsidRDefault="005732B5" w:rsidP="005732B5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rPr>
          <w:rFonts w:ascii="Times New Roman" w:eastAsia="Teko" w:hAnsi="Times New Roman" w:cs="Times New Roman"/>
          <w:color w:val="000000"/>
          <w:sz w:val="24"/>
          <w:szCs w:val="24"/>
        </w:rPr>
      </w:pP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2014: Nagy Lajos, Mann Zoltán Ádám</w:t>
      </w:r>
    </w:p>
    <w:p w:rsidR="005732B5" w:rsidRPr="005732B5" w:rsidRDefault="005732B5" w:rsidP="005732B5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rPr>
          <w:rFonts w:ascii="Times New Roman" w:eastAsia="Teko" w:hAnsi="Times New Roman" w:cs="Times New Roman"/>
          <w:color w:val="000000"/>
          <w:sz w:val="24"/>
          <w:szCs w:val="24"/>
        </w:rPr>
      </w:pP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2015: </w:t>
      </w:r>
      <w:proofErr w:type="spellStart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Szeszlér</w:t>
      </w:r>
      <w:proofErr w:type="spellEnd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 Dávid, Horváth Gábor</w:t>
      </w:r>
    </w:p>
    <w:p w:rsidR="005732B5" w:rsidRPr="005732B5" w:rsidRDefault="005732B5" w:rsidP="005732B5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rPr>
          <w:rFonts w:ascii="Times New Roman" w:eastAsia="Teko" w:hAnsi="Times New Roman" w:cs="Times New Roman"/>
          <w:color w:val="000000"/>
          <w:sz w:val="24"/>
          <w:szCs w:val="24"/>
        </w:rPr>
      </w:pP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2016: Németh Krisztián, </w:t>
      </w:r>
      <w:proofErr w:type="spellStart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Micskei</w:t>
      </w:r>
      <w:proofErr w:type="spellEnd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 Zoltán</w:t>
      </w:r>
    </w:p>
    <w:p w:rsidR="005732B5" w:rsidRPr="005732B5" w:rsidRDefault="005732B5" w:rsidP="005732B5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rPr>
          <w:rFonts w:ascii="Times New Roman" w:eastAsia="Teko" w:hAnsi="Times New Roman" w:cs="Times New Roman"/>
          <w:color w:val="000000"/>
          <w:sz w:val="24"/>
          <w:szCs w:val="24"/>
        </w:rPr>
      </w:pP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2017: </w:t>
      </w:r>
      <w:proofErr w:type="spellStart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Czirkos</w:t>
      </w:r>
      <w:proofErr w:type="spellEnd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 Zoltán, Asztalos Márk</w:t>
      </w:r>
    </w:p>
    <w:p w:rsidR="005732B5" w:rsidRPr="005732B5" w:rsidRDefault="005732B5" w:rsidP="005732B5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rPr>
          <w:rFonts w:ascii="Times New Roman" w:eastAsia="Teko" w:hAnsi="Times New Roman" w:cs="Times New Roman"/>
          <w:color w:val="000000"/>
          <w:sz w:val="24"/>
          <w:szCs w:val="24"/>
        </w:rPr>
      </w:pP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2018: Wiener Gábor, Balázs Barbara</w:t>
      </w:r>
    </w:p>
    <w:p w:rsidR="005732B5" w:rsidRPr="005732B5" w:rsidRDefault="005732B5" w:rsidP="005732B5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 w:hanging="357"/>
        <w:rPr>
          <w:rFonts w:ascii="Times New Roman" w:eastAsia="Teko" w:hAnsi="Times New Roman" w:cs="Times New Roman"/>
          <w:color w:val="000000"/>
          <w:sz w:val="24"/>
          <w:szCs w:val="24"/>
        </w:rPr>
      </w:pPr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2019: </w:t>
      </w:r>
      <w:proofErr w:type="spellStart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>Szeszlér</w:t>
      </w:r>
      <w:proofErr w:type="spellEnd"/>
      <w:r w:rsidRPr="005732B5">
        <w:rPr>
          <w:rFonts w:ascii="Times New Roman" w:eastAsia="Teko" w:hAnsi="Times New Roman" w:cs="Times New Roman"/>
          <w:color w:val="000000"/>
          <w:sz w:val="24"/>
          <w:szCs w:val="24"/>
        </w:rPr>
        <w:t xml:space="preserve"> Dávid, Varga Kitti</w:t>
      </w:r>
    </w:p>
    <w:p w:rsidR="005732B5" w:rsidRDefault="005732B5" w:rsidP="005732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eko" w:hAnsi="Times New Roman" w:cs="Times New Roman"/>
          <w:color w:val="000000"/>
          <w:sz w:val="24"/>
          <w:szCs w:val="24"/>
        </w:rPr>
      </w:pPr>
    </w:p>
    <w:p w:rsidR="005732B5" w:rsidRDefault="005732B5" w:rsidP="005732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eko" w:hAnsi="Times New Roman" w:cs="Times New Roman"/>
          <w:color w:val="000000"/>
          <w:sz w:val="24"/>
          <w:szCs w:val="24"/>
        </w:rPr>
      </w:pPr>
    </w:p>
    <w:p w:rsidR="005732B5" w:rsidRPr="005732B5" w:rsidRDefault="005732B5" w:rsidP="005732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eko" w:hAnsi="Times New Roman" w:cs="Times New Roman"/>
          <w:color w:val="000000"/>
          <w:sz w:val="24"/>
          <w:szCs w:val="24"/>
        </w:rPr>
        <w:sectPr w:rsidR="005732B5" w:rsidRPr="005732B5">
          <w:headerReference w:type="default" r:id="rId8"/>
          <w:footerReference w:type="default" r:id="rId9"/>
          <w:pgSz w:w="11906" w:h="16838"/>
          <w:pgMar w:top="1417" w:right="1417" w:bottom="1417" w:left="1417" w:header="283" w:footer="57" w:gutter="0"/>
          <w:pgNumType w:start="1"/>
          <w:cols w:space="720" w:equalWidth="0">
            <w:col w:w="9360"/>
          </w:cols>
        </w:sectPr>
      </w:pPr>
    </w:p>
    <w:p w:rsidR="00024B0D" w:rsidRPr="005732B5" w:rsidRDefault="00024B0D" w:rsidP="005732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eko" w:hAnsi="Times New Roman" w:cs="Times New Roman"/>
          <w:color w:val="000000"/>
          <w:sz w:val="24"/>
          <w:szCs w:val="24"/>
        </w:rPr>
      </w:pPr>
    </w:p>
    <w:sectPr w:rsidR="00024B0D" w:rsidRPr="005732B5">
      <w:type w:val="continuous"/>
      <w:pgSz w:w="11906" w:h="16838"/>
      <w:pgMar w:top="1417" w:right="1417" w:bottom="1417" w:left="1417" w:header="283" w:footer="57" w:gutter="0"/>
      <w:cols w:num="2" w:space="720" w:equalWidth="0">
        <w:col w:w="4181" w:space="708"/>
        <w:col w:w="418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7DC" w:rsidRDefault="00A337DC">
      <w:pPr>
        <w:spacing w:after="0" w:line="240" w:lineRule="auto"/>
      </w:pPr>
      <w:r>
        <w:separator/>
      </w:r>
    </w:p>
  </w:endnote>
  <w:endnote w:type="continuationSeparator" w:id="0">
    <w:p w:rsidR="00A337DC" w:rsidRDefault="00A3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ko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B0D" w:rsidRDefault="00024B0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0"/>
      <w:tblW w:w="8822" w:type="dxa"/>
      <w:tblInd w:w="-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146"/>
      <w:gridCol w:w="960"/>
      <w:gridCol w:w="3716"/>
    </w:tblGrid>
    <w:tr w:rsidR="00024B0D">
      <w:trPr>
        <w:trHeight w:val="353"/>
      </w:trPr>
      <w:tc>
        <w:tcPr>
          <w:tcW w:w="4146" w:type="dxa"/>
          <w:vAlign w:val="center"/>
        </w:tcPr>
        <w:p w:rsidR="00024B0D" w:rsidRDefault="00A337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:rsidR="00024B0D" w:rsidRDefault="00A337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62472" cy="658865"/>
                <wp:effectExtent l="0" t="0" r="0" b="0"/>
                <wp:docPr id="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:rsidR="00024B0D" w:rsidRDefault="00A337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t>1117 Budapest, Irinyi József utca 42. 104</w:t>
          </w:r>
        </w:p>
      </w:tc>
    </w:tr>
    <w:tr w:rsidR="00024B0D">
      <w:trPr>
        <w:trHeight w:val="341"/>
      </w:trPr>
      <w:tc>
        <w:tcPr>
          <w:tcW w:w="4146" w:type="dxa"/>
          <w:vAlign w:val="center"/>
        </w:tcPr>
        <w:p w:rsidR="00024B0D" w:rsidRDefault="00A337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:rsidR="00024B0D" w:rsidRDefault="00024B0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3716" w:type="dxa"/>
          <w:vAlign w:val="center"/>
        </w:tcPr>
        <w:p w:rsidR="00024B0D" w:rsidRDefault="00A337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right" w:pos="3402"/>
              <w:tab w:val="left" w:pos="5670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http://vik-hk.bme.hu - hk@vik-hk.bme.hu</w:t>
          </w:r>
        </w:p>
      </w:tc>
    </w:tr>
    <w:tr w:rsidR="00024B0D">
      <w:trPr>
        <w:trHeight w:val="339"/>
      </w:trPr>
      <w:tc>
        <w:tcPr>
          <w:tcW w:w="4146" w:type="dxa"/>
          <w:vAlign w:val="center"/>
        </w:tcPr>
        <w:p w:rsidR="00024B0D" w:rsidRDefault="00A337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:rsidR="00024B0D" w:rsidRDefault="00024B0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3716" w:type="dxa"/>
          <w:vAlign w:val="center"/>
        </w:tcPr>
        <w:p w:rsidR="00024B0D" w:rsidRDefault="00A337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right" w:pos="3402"/>
              <w:tab w:val="left" w:pos="5670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Tel.: 06-1-463-3657</w:t>
          </w:r>
        </w:p>
      </w:tc>
    </w:tr>
  </w:tbl>
  <w:p w:rsidR="00024B0D" w:rsidRDefault="00024B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7DC" w:rsidRDefault="00A337DC">
      <w:pPr>
        <w:spacing w:after="0" w:line="240" w:lineRule="auto"/>
      </w:pPr>
      <w:r>
        <w:separator/>
      </w:r>
    </w:p>
  </w:footnote>
  <w:footnote w:type="continuationSeparator" w:id="0">
    <w:p w:rsidR="00A337DC" w:rsidRDefault="00A3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B0D" w:rsidRDefault="00024B0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eko" w:eastAsia="Teko" w:hAnsi="Teko" w:cs="Teko"/>
        <w:color w:val="000000"/>
        <w:sz w:val="24"/>
        <w:szCs w:val="24"/>
      </w:rPr>
    </w:pPr>
  </w:p>
  <w:tbl>
    <w:tblPr>
      <w:tblStyle w:val="a"/>
      <w:tblW w:w="9072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913"/>
      <w:gridCol w:w="3246"/>
      <w:gridCol w:w="2913"/>
    </w:tblGrid>
    <w:tr w:rsidR="00024B0D">
      <w:tc>
        <w:tcPr>
          <w:tcW w:w="2913" w:type="dxa"/>
        </w:tcPr>
        <w:p w:rsidR="00024B0D" w:rsidRDefault="00024B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</w:p>
      </w:tc>
      <w:tc>
        <w:tcPr>
          <w:tcW w:w="3246" w:type="dxa"/>
        </w:tcPr>
        <w:p w:rsidR="00024B0D" w:rsidRDefault="00A337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1920597" cy="476250"/>
                <wp:effectExtent l="0" t="0" r="0" b="0"/>
                <wp:docPr id="25" name="image2.png" descr="muegyete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muegyete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3" w:type="dxa"/>
        </w:tcPr>
        <w:p w:rsidR="00024B0D" w:rsidRDefault="00024B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</w:p>
      </w:tc>
    </w:tr>
  </w:tbl>
  <w:p w:rsidR="00024B0D" w:rsidRDefault="00024B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A5DE8"/>
    <w:multiLevelType w:val="hybridMultilevel"/>
    <w:tmpl w:val="B0460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E658E"/>
    <w:multiLevelType w:val="multilevel"/>
    <w:tmpl w:val="8E2A5A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B0D"/>
    <w:rsid w:val="00024B0D"/>
    <w:rsid w:val="005732B5"/>
    <w:rsid w:val="00A3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6112B"/>
  <w15:docId w15:val="{A12F5ED0-8FB4-4D24-9C58-88F032D6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573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937GuC7wgbtmihmX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 Jakab</cp:lastModifiedBy>
  <cp:revision>2</cp:revision>
  <dcterms:created xsi:type="dcterms:W3CDTF">2020-06-08T08:25:00Z</dcterms:created>
  <dcterms:modified xsi:type="dcterms:W3CDTF">2020-06-08T08:28:00Z</dcterms:modified>
</cp:coreProperties>
</file>