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line="276" w:lineRule="auto"/>
        <w:jc w:val="center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Villamosmérnöki és Informatikai Kar Hallgatói Képviselet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Utazási és konferencia ösztöndíj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Pályázati felhívás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2024/2025. tanév 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Budapesti Műszaki és Gazdaságtudományi Egyetem (BME) Villamosmérnöki és Informatikai Kar (VIK) Hallgatói Képviselet (VIK HK) ösztöndíj pályázatot hirdet a BME Térítési és Juttatási Szabályzat (a továbbiakban: TJSZ) 34. §-a alapján a hallgató adott képzéséhez, tanulmányaihoz kapcsolódó konferencián és szakmai, tanulmányi versenyen való részvétel, illetve szakmai rendezvényeken való részvétel utazási költségeinek, valamint részvételi díjának támogatására.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Pályázati feltételek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pályázaton részt vehet a VIK bármely teljes idejű alap-, mester- vagy 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doktori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képzésének aktív hallgatói jogviszonnyal rendelkező hallgatója, aki a pályázat által vizsgált időszakban is aktív hallgatói jogviszonnyal rendelkezett. 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Közéleti teljesítményét a hallgató csak egyszer ismertetheti el. A hallgatónak pályázata esetén jeleznie kell, ha az elismertetni kívánt teljesítménnyel/tevékenységgel máshova pályázott és a bírálat folyamatban van, valamint korábban máshol elismertetett teljesítménnyel/tevékenységgel nem pályázhat.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Elbírálás alapelvei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pályázat elbírálását a TJSZ. 29. § (4) bekezdése szerint a VIK HK végzi a jelen felhívásban meghatározott pontrendszer alapján. A pályázat benyújtásával vagy az utazás költségének támogatására vagy a konferencia részvételi díjának támogatására van lehetőség.</w:t>
      </w:r>
    </w:p>
    <w:p w:rsidR="00000000" w:rsidDel="00000000" w:rsidP="00000000" w:rsidRDefault="00000000" w:rsidRPr="00000000" w14:paraId="0000000E">
      <w:pPr>
        <w:shd w:fill="ffffff" w:val="clear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Pontrendszer</w:t>
      </w:r>
      <w:r w:rsidDel="00000000" w:rsidR="00000000" w:rsidRPr="00000000">
        <w:rPr>
          <w:rtl w:val="0"/>
        </w:rPr>
      </w:r>
    </w:p>
    <w:tbl>
      <w:tblPr>
        <w:tblStyle w:val="Table1"/>
        <w:tblW w:w="65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74"/>
        <w:gridCol w:w="1142"/>
        <w:tblGridChange w:id="0">
          <w:tblGrid>
            <w:gridCol w:w="5374"/>
            <w:gridCol w:w="1142"/>
          </w:tblGrid>
        </w:tblGridChange>
      </w:tblGrid>
      <w:tr>
        <w:trPr>
          <w:cantSplit w:val="0"/>
          <w:trHeight w:val="5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2"/>
                <w:szCs w:val="22"/>
                <w:rtl w:val="0"/>
              </w:rPr>
              <w:t xml:space="preserve">Tevékenység</w:t>
            </w:r>
          </w:p>
        </w:tc>
        <w:tc>
          <w:tcPr/>
          <w:p w:rsidR="00000000" w:rsidDel="00000000" w:rsidP="00000000" w:rsidRDefault="00000000" w:rsidRPr="00000000" w14:paraId="00000011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2"/>
                <w:szCs w:val="22"/>
                <w:rtl w:val="0"/>
              </w:rPr>
              <w:t xml:space="preserve">Pontszám</w:t>
            </w:r>
          </w:p>
        </w:tc>
      </w:tr>
      <w:tr>
        <w:trPr>
          <w:cantSplit w:val="0"/>
          <w:trHeight w:val="56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1. </w:t>
              <w:tab/>
              <w:t xml:space="preserve">Konferencián való részvétel</w:t>
            </w:r>
          </w:p>
        </w:tc>
        <w:tc>
          <w:tcPr/>
          <w:p w:rsidR="00000000" w:rsidDel="00000000" w:rsidP="00000000" w:rsidRDefault="00000000" w:rsidRPr="00000000" w14:paraId="00000013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1.1.          </w:t>
              <w:tab/>
              <w:t xml:space="preserve">az esemény nemzetközi elismertsége alapján</w:t>
            </w:r>
          </w:p>
        </w:tc>
        <w:tc>
          <w:tcPr/>
          <w:p w:rsidR="00000000" w:rsidDel="00000000" w:rsidP="00000000" w:rsidRDefault="00000000" w:rsidRPr="00000000" w14:paraId="00000015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0 – 20</w:t>
            </w:r>
          </w:p>
        </w:tc>
      </w:tr>
      <w:tr>
        <w:trPr>
          <w:cantSplit w:val="0"/>
          <w:trHeight w:val="56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1.2.          </w:t>
              <w:tab/>
              <w:t xml:space="preserve">a szakmai beszámoló alapján</w:t>
            </w:r>
          </w:p>
        </w:tc>
        <w:tc>
          <w:tcPr/>
          <w:p w:rsidR="00000000" w:rsidDel="00000000" w:rsidP="00000000" w:rsidRDefault="00000000" w:rsidRPr="00000000" w14:paraId="00000017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0 – 15</w:t>
            </w:r>
          </w:p>
        </w:tc>
      </w:tr>
      <w:tr>
        <w:trPr>
          <w:cantSplit w:val="0"/>
          <w:trHeight w:val="5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2.  </w:t>
              <w:tab/>
              <w:t xml:space="preserve">Utazás</w:t>
            </w:r>
          </w:p>
        </w:tc>
        <w:tc>
          <w:tcPr/>
          <w:p w:rsidR="00000000" w:rsidDel="00000000" w:rsidP="00000000" w:rsidRDefault="00000000" w:rsidRPr="00000000" w14:paraId="00000019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2.1.          </w:t>
              <w:tab/>
              <w:t xml:space="preserve">az esemény nemzetközi elismertsége alapján</w:t>
            </w:r>
          </w:p>
        </w:tc>
        <w:tc>
          <w:tcPr/>
          <w:p w:rsidR="00000000" w:rsidDel="00000000" w:rsidP="00000000" w:rsidRDefault="00000000" w:rsidRPr="00000000" w14:paraId="0000001B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0 – 30</w:t>
            </w:r>
          </w:p>
        </w:tc>
      </w:tr>
      <w:tr>
        <w:trPr>
          <w:cantSplit w:val="0"/>
          <w:trHeight w:val="56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2.2.          </w:t>
              <w:tab/>
              <w:t xml:space="preserve">a szakmai beszámoló alapján</w:t>
            </w:r>
          </w:p>
        </w:tc>
        <w:tc>
          <w:tcPr/>
          <w:p w:rsidR="00000000" w:rsidDel="00000000" w:rsidP="00000000" w:rsidRDefault="00000000" w:rsidRPr="00000000" w14:paraId="0000001D">
            <w:pPr>
              <w:shd w:fill="ffffff" w:val="clear"/>
              <w:spacing w:after="120" w:before="120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0 – 20</w:t>
            </w:r>
          </w:p>
        </w:tc>
      </w:tr>
    </w:tbl>
    <w:p w:rsidR="00000000" w:rsidDel="00000000" w:rsidP="00000000" w:rsidRDefault="00000000" w:rsidRPr="00000000" w14:paraId="0000001E">
      <w:pPr>
        <w:shd w:fill="ffffff" w:val="clear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pontszámok meghatározása a tevékenység színvonala, illetve szakmaisága, konferencia, versenyek elismertsége és a versenyeredmények alapján történik az ajánlást író egyetemi oktató javaslata alapján.</w:t>
      </w:r>
    </w:p>
    <w:p w:rsidR="00000000" w:rsidDel="00000000" w:rsidP="00000000" w:rsidRDefault="00000000" w:rsidRPr="00000000" w14:paraId="00000020">
      <w:pPr>
        <w:shd w:fill="ffffff" w:val="clear"/>
        <w:spacing w:after="120" w:before="120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A pályázás folyamata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pályázat által vizsgált időszakban végzett – a fentiekben megnevezett – tevékenységek jutalmazására történő pályázás a Műegyetemi Egységes Pályázati és Elbírálási Rendszeren (MŰEPER) keresztül lehetséges, a Határidők bekezdésben megjelölt, vizsgált időszakhoz tartozó leadási határidőig a VIK Utazási és konferencia ösztöndíj leadásával. </w:t>
      </w:r>
    </w:p>
    <w:p w:rsidR="00000000" w:rsidDel="00000000" w:rsidP="00000000" w:rsidRDefault="00000000" w:rsidRPr="00000000" w14:paraId="00000022">
      <w:pPr>
        <w:shd w:fill="ffffff" w:val="clear"/>
        <w:spacing w:after="120" w:before="120" w:lineRule="auto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Tartalmi követelmények és a kapcsolódó igazolások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pályázati igénylés tartalmazza a pályázó által elvégzett egyéni munka elbírálásra alkalmas részletességű leírást.</w:t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Minden esetben szükséges a részvétel igazolása, ezen felül pedig a pályázó nevére szóló számla, menetjegyek bemutatása és másolatának leadása, illetve az előadással vagy a hozzá kapcsolódó kutatással összefüggő releváns dokumentumok. Továbbá szükséges még egy összefoglaló (min. 750 karakter szóköz nélkül) a verseny vagy az előadás témájával kapcsolatban.</w:t>
      </w:r>
    </w:p>
    <w:p w:rsidR="00000000" w:rsidDel="00000000" w:rsidP="00000000" w:rsidRDefault="00000000" w:rsidRPr="00000000" w14:paraId="00000025">
      <w:pPr>
        <w:shd w:fill="ffffff" w:val="clear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360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u w:val="single"/>
          <w:rtl w:val="0"/>
        </w:rPr>
        <w:t xml:space="preserve">A pályázathoz szükséges dokumentumok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egy egyetemi oktató írásos ajánlása, amelyben megerősíti a hallgató rendezvényen való részvételének szakmai szempontból való indokoltságát;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menetjegyek és az ezekről a pályázó nevére kiállított számla/személygépjármű forgalmi engedélyének másolata a személyes adatokat (C pont) kitakarásával;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kint tartózkodást igazoló hivatalos dokumentum a rendezvény szervezőitől;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megtartott előadás vagy szereplés írásos dokumentumai;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14" w:hanging="357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részletes szakmai összefoglaló a rendezvényről,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14" w:hanging="357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egyéb – a fentiekben nem részletezett, a pályázat elbíráláshoz szükséges dokumentum, – a Pályázati Referenssel előre egyeztetve.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14" w:firstLine="0"/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2E">
      <w:pPr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u w:val="single"/>
          <w:rtl w:val="0"/>
        </w:rPr>
        <w:t xml:space="preserve">Utazási költség címén elszámolható: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turista-osztályú repülőjegy, repülőtéri illeték;</w:t>
      </w:r>
    </w:p>
    <w:p w:rsidR="00000000" w:rsidDel="00000000" w:rsidP="00000000" w:rsidRDefault="00000000" w:rsidRPr="00000000" w14:paraId="00000030">
      <w:pPr>
        <w:numPr>
          <w:ilvl w:val="1"/>
          <w:numId w:val="4"/>
        </w:numPr>
        <w:ind w:left="1440" w:hanging="360"/>
        <w:rPr/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adott országon belüli II. osztályú vasúti, vagy autóbusz költség abban az esetben, ha a rendezvény nem abban a városban van, ahol a repülőtér,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másodosztályú vasútjegy, illetve távolsági autóbuszjegy;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360" w:lineRule="auto"/>
        <w:ind w:left="714" w:hanging="357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személygépjármű üzemanyagköltsége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33">
      <w:pPr>
        <w:shd w:fill="ffffff" w:val="clear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A pályázaton elnyerhető ösztöndíj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pályázat elnyeréséhez szükséges minimálisan elérendő pontszámot és az elnyert ösztöndíj nagyságát a VIK HK állapítja meg a pályázati referens javaslatára a pályázatok elbírálása során a beérkezett pályázatok és az előre meghatározott keretek figyelembevételével. Az ösztöndíj összege 100 Ft-ra kerekítve kerül meghatározásra a TJSZ 22. </w:t>
      </w: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§ (4) bekezdése alapján, a kerekítés szabályai szerint. 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juttatások kifizetése egyszeri ösztöndíj formájában történik az elbírálást követő, a hallgatói normatíva terhére folyósított juttatások kifizetési időpontjainak ütemezésében meghatározott időpontban.</w:t>
      </w:r>
    </w:p>
    <w:p w:rsidR="00000000" w:rsidDel="00000000" w:rsidP="00000000" w:rsidRDefault="00000000" w:rsidRPr="00000000" w14:paraId="00000035">
      <w:pPr>
        <w:shd w:fill="ffffff" w:val="clear"/>
        <w:rPr>
          <w:rFonts w:ascii="Garamond" w:cs="Garamond" w:eastAsia="Garamond" w:hAnsi="Garamond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u w:val="single"/>
          <w:rtl w:val="0"/>
        </w:rPr>
        <w:t xml:space="preserve">Az utazás költségeinek támogatása: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konferencián/kongresszuson/szemináriumon való előadás tartása esetén az utazási költség 2/3-a, de maximum 75 000 forint;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360" w:lineRule="auto"/>
        <w:ind w:left="714" w:hanging="357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konferencián/kongresszuson/szemináriumon való részvétel esetén (előadás tartása nélkül) az utazási költség 1/3-a, de maximum 75 000 forint.</w:t>
      </w:r>
    </w:p>
    <w:p w:rsidR="00000000" w:rsidDel="00000000" w:rsidP="00000000" w:rsidRDefault="00000000" w:rsidRPr="00000000" w14:paraId="00000039">
      <w:pPr>
        <w:shd w:fill="ffffff" w:val="clear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pályázat utólagos finanszírozású, költségfedezet előzetesen nem adható, és nem előlegezhető.</w:t>
      </w:r>
    </w:p>
    <w:p w:rsidR="00000000" w:rsidDel="00000000" w:rsidP="00000000" w:rsidRDefault="00000000" w:rsidRPr="00000000" w14:paraId="0000003A">
      <w:pPr>
        <w:shd w:fill="ffffff" w:val="clear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360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u w:val="single"/>
          <w:rtl w:val="0"/>
        </w:rPr>
        <w:t xml:space="preserve">Részvételi díj költségeinek támogatása: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konferencia/kongresszus/szeminárium/verseny részvételi díjának maximum 90%-a, de legfeljebb a részvételi díj 3 000 forinttal csökkentett összege;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szakmai rendezvényenként elnyerhető maximális összeg: 35 000 forint/fő;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820" w:lineRule="auto"/>
        <w:ind w:left="720" w:hanging="36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amennyiben egy hallgató a pályázat keretében értékelt időszakban több szakmai célú rendezvényen is részt vesz, a pályázónként elnyerhető maximális összeg 75 000 forint/félév, szakmai rendezvényenként leadott külön pályázatok esetében is.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b w:val="1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2"/>
          <w:szCs w:val="22"/>
          <w:rtl w:val="0"/>
        </w:rPr>
        <w:t xml:space="preserve">Határidők</w:t>
      </w:r>
      <w:r w:rsidDel="00000000" w:rsidR="00000000" w:rsidRPr="00000000">
        <w:rPr>
          <w:rtl w:val="0"/>
        </w:rPr>
      </w:r>
    </w:p>
    <w:tbl>
      <w:tblPr>
        <w:tblStyle w:val="Table2"/>
        <w:tblW w:w="7477.0" w:type="dxa"/>
        <w:jc w:val="center"/>
        <w:tblLayout w:type="fixed"/>
        <w:tblLook w:val="0400"/>
      </w:tblPr>
      <w:tblGrid>
        <w:gridCol w:w="3795"/>
        <w:gridCol w:w="3682"/>
        <w:tblGridChange w:id="0">
          <w:tblGrid>
            <w:gridCol w:w="3795"/>
            <w:gridCol w:w="368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Őszi félév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 pályázat által vizsgált időszak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2024. február 1. - 2024. szeptember 30.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99999999999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 pályázat benyújtásának határideje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2024. október 20.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Javítás határideje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2024. október 25.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Az előzetes eredmény kihirdetése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Garamond" w:cs="Garamond" w:eastAsia="Garamond" w:hAnsi="Garamond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2024. október 31.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 felszólalás határideje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2024. november 03.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 végleges eredmény kihirdetése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2024. november 07.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Kifizetés időpontja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2024. december 10.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Tavaszi félév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 pályázat által vizsgált időszak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2024. október 1. - 2025. január 31.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 pályázat benyújtásának határideje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2025. március 16.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Javítás határideje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2025. március 21.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Az előzetes eredmény kihirdetése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2025. március 27.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 felszólalás határideje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2025. április 03.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A végleges eredmény kihirdetése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2025. április 06.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Kifizetés időpontja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Garamond" w:cs="Garamond" w:eastAsia="Garamond" w:hAnsi="Garamond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2025. május 9.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A pályázaton mindig az aktuális időszakban végzett tevékenység vehető figyelembe. A nem a kiírás szerint vagy a pályázat határidejének lejárta után benyújtott pályázat érvénytelennek minősül és elutasításra kerül.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A pályázat hiánytalanságáért a pályázó felel, azonban a pályázati anyagok tartalmi, vagy formai hibáira hivatkozva a bíráló visszaküldheti a pályázati anyagokat javításra a pályázónak. Ezen javítás során csak olyan igazolások benyújtására van mód, amelyeknek a javítás során a bíráló benyújtását vagy javítását kérte.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2"/>
          <w:szCs w:val="22"/>
          <w:rtl w:val="0"/>
        </w:rPr>
        <w:t xml:space="preserve">Eredmény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right="7"/>
        <w:jc w:val="both"/>
        <w:rPr>
          <w:rFonts w:ascii="Garamond" w:cs="Garamond" w:eastAsia="Garamond" w:hAnsi="Garamond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VIK HK a döntést megelőzően a Határidők részben megjelölt időpontig tájékoztató jelleggel előzetes eredményt tesz közzé a </w:t>
      </w:r>
      <w:hyperlink r:id="rId8">
        <w:r w:rsidDel="00000000" w:rsidR="00000000" w:rsidRPr="00000000">
          <w:rPr>
            <w:rFonts w:ascii="Garamond" w:cs="Garamond" w:eastAsia="Garamond" w:hAnsi="Garamond"/>
            <w:color w:val="0563c1"/>
            <w:sz w:val="22"/>
            <w:szCs w:val="22"/>
            <w:u w:val="single"/>
            <w:rtl w:val="0"/>
          </w:rPr>
          <w:t xml:space="preserve">https://mueper.bme.hu/</w:t>
        </w:r>
      </w:hyperlink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rendszerben, a BME Címtár azonosítóval történő bejelentkezést követően a Profilom menüben közli oly módon, hogy minden Pályázó számára csak a saját eredménye látható.</w:t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végleges eredményt a VIK HK a  </w:t>
      </w:r>
      <w:hyperlink r:id="rId9">
        <w:r w:rsidDel="00000000" w:rsidR="00000000" w:rsidRPr="00000000">
          <w:rPr>
            <w:rFonts w:ascii="Garamond" w:cs="Garamond" w:eastAsia="Garamond" w:hAnsi="Garamond"/>
            <w:color w:val="0563c1"/>
            <w:sz w:val="22"/>
            <w:szCs w:val="22"/>
            <w:u w:val="single"/>
            <w:rtl w:val="0"/>
          </w:rPr>
          <w:t xml:space="preserve">https://mueper.bme.hu</w:t>
        </w:r>
      </w:hyperlink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  rendszerben, a BME Címtár azonosítóval történő bejelentkezést követően a Profilom menüben közli oly módon, hogy minden Pályázó számára csak a saját eredménye látható.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2"/>
          <w:szCs w:val="22"/>
          <w:rtl w:val="0"/>
        </w:rPr>
        <w:t xml:space="preserve">Adatvédelem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A VIK HK az ösztöndíj pályázatok elbírálásához szükséges személyes adatokat a hatályos adatvédelmi szabályoknak megfelelően kezeli a mellékelt adatkezelési tájékoztató szerint. 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2"/>
          <w:szCs w:val="22"/>
          <w:rtl w:val="0"/>
        </w:rPr>
        <w:t xml:space="preserve">Felszólalás, jogorvoslat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right="7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pályázó az előzetes eredmény ellen felszólalással élhet a Határidők részben megjelölt időpontig a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</w:t>
      </w:r>
      <w:hyperlink r:id="rId10">
        <w:r w:rsidDel="00000000" w:rsidR="00000000" w:rsidRPr="00000000">
          <w:rPr>
            <w:rFonts w:ascii="Garamond" w:cs="Garamond" w:eastAsia="Garamond" w:hAnsi="Garamond"/>
            <w:color w:val="0563c1"/>
            <w:sz w:val="22"/>
            <w:szCs w:val="22"/>
            <w:u w:val="single"/>
            <w:rtl w:val="0"/>
          </w:rPr>
          <w:t xml:space="preserve">https://mueper.bme.hu/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honlapon. 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A hallgató a pályázat elbírálásának végleges eredménye ellen – a közléstől, ennek hiányában a tudomására jutásától számított 15 napon belül – a Hallgatói Jogorvoslati Bizottságnál jogorvoslattal élhet, a Neptun Egységes Tanulmányi Rendszerben elérhető 001-es számú kérvény leadásával.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72">
      <w:pPr>
        <w:spacing w:line="276" w:lineRule="auto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Budapest, 2024. július 25.</w:t>
      </w:r>
    </w:p>
    <w:p w:rsidR="00000000" w:rsidDel="00000000" w:rsidP="00000000" w:rsidRDefault="00000000" w:rsidRPr="00000000" w14:paraId="00000073">
      <w:pPr>
        <w:spacing w:line="276" w:lineRule="auto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3660"/>
        </w:tabs>
        <w:spacing w:line="276" w:lineRule="auto"/>
        <w:jc w:val="right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ab/>
        <w:t xml:space="preserve">Villamosmérnöki és Informatikai Kar</w:t>
      </w:r>
    </w:p>
    <w:p w:rsidR="00000000" w:rsidDel="00000000" w:rsidP="00000000" w:rsidRDefault="00000000" w:rsidRPr="00000000" w14:paraId="00000075">
      <w:pPr>
        <w:spacing w:line="276" w:lineRule="auto"/>
        <w:jc w:val="right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Hallgatói Képviselet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134" w:top="993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6120130" cy="487373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4873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77">
      <w:pPr>
        <w:shd w:fill="ffffff" w:val="clear"/>
        <w:spacing w:line="276" w:lineRule="auto"/>
        <w:jc w:val="both"/>
        <w:rPr>
          <w:rFonts w:ascii="Garamond" w:cs="Garamond" w:eastAsia="Garamond" w:hAnsi="Garamond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Személygépjárművel történő utazás esetén az utazási költség a NAV által meghatározott, beépített motor hengerűrtartalma szerinti alapnorma-átalányból és a kiutazás hónapjára érvényes üzemanyagköltség-elszámolással kapcsolatosan alkalmazható fogyasztásból, valamint a Google Maps útvonaltervezője által meghatározott legrövidebb útvonalból számítódik: </w:t>
      </w:r>
      <w:r w:rsidDel="00000000" w:rsidR="00000000" w:rsidRPr="00000000">
        <w:rPr>
          <w:rFonts w:ascii="Garamond" w:cs="Garamond" w:eastAsia="Garamond" w:hAnsi="Garamond"/>
          <w:i w:val="1"/>
          <w:color w:val="000000"/>
          <w:sz w:val="18"/>
          <w:szCs w:val="18"/>
          <w:rtl w:val="0"/>
        </w:rPr>
        <w:t xml:space="preserve">d×[(a/100)×ü+9 Ft/km].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spacing w:line="276" w:lineRule="auto"/>
        <w:jc w:val="both"/>
        <w:rPr>
          <w:rFonts w:ascii="Garamond" w:cs="Garamond" w:eastAsia="Garamond" w:hAnsi="Garamond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A fentebbi képletben a karakterek a következőket jelölik:</w:t>
      </w:r>
    </w:p>
    <w:p w:rsidR="00000000" w:rsidDel="00000000" w:rsidP="00000000" w:rsidRDefault="00000000" w:rsidRPr="00000000" w14:paraId="00000079">
      <w:pPr>
        <w:shd w:fill="ffffff" w:val="clear"/>
        <w:tabs>
          <w:tab w:val="left" w:leader="none" w:pos="567"/>
        </w:tabs>
        <w:spacing w:line="276" w:lineRule="auto"/>
        <w:jc w:val="both"/>
        <w:rPr>
          <w:rFonts w:ascii="Garamond" w:cs="Garamond" w:eastAsia="Garamond" w:hAnsi="Garamond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ab/>
        <w:t xml:space="preserve">d=távolság (km)</w:t>
      </w:r>
    </w:p>
    <w:p w:rsidR="00000000" w:rsidDel="00000000" w:rsidP="00000000" w:rsidRDefault="00000000" w:rsidRPr="00000000" w14:paraId="0000007A">
      <w:pPr>
        <w:shd w:fill="ffffff" w:val="clear"/>
        <w:spacing w:line="276" w:lineRule="auto"/>
        <w:ind w:firstLine="567"/>
        <w:jc w:val="both"/>
        <w:rPr>
          <w:rFonts w:ascii="Garamond" w:cs="Garamond" w:eastAsia="Garamond" w:hAnsi="Garamond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a=hatályos alapnorma átalány (liter/100 km)</w:t>
      </w:r>
    </w:p>
    <w:p w:rsidR="00000000" w:rsidDel="00000000" w:rsidP="00000000" w:rsidRDefault="00000000" w:rsidRPr="00000000" w14:paraId="0000007B">
      <w:pPr>
        <w:shd w:fill="ffffff" w:val="clear"/>
        <w:spacing w:line="276" w:lineRule="auto"/>
        <w:ind w:firstLine="567"/>
        <w:jc w:val="both"/>
        <w:rPr>
          <w:rFonts w:ascii="Garamond" w:cs="Garamond" w:eastAsia="Garamond" w:hAnsi="Garamond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ü=hatályos üzemanyag ár</w:t>
      </w:r>
    </w:p>
    <w:p w:rsidR="00000000" w:rsidDel="00000000" w:rsidP="00000000" w:rsidRDefault="00000000" w:rsidRPr="00000000" w14:paraId="0000007C">
      <w:pPr>
        <w:shd w:fill="ffffff" w:val="clear"/>
        <w:spacing w:line="276" w:lineRule="auto"/>
        <w:ind w:firstLine="567"/>
        <w:jc w:val="both"/>
        <w:rPr>
          <w:rFonts w:ascii="Garamond" w:cs="Garamond" w:eastAsia="Garamond" w:hAnsi="Garamond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9 Ft/km amortizáció</w:t>
      </w:r>
    </w:p>
    <w:p w:rsidR="00000000" w:rsidDel="00000000" w:rsidP="00000000" w:rsidRDefault="00000000" w:rsidRPr="00000000" w14:paraId="0000007D">
      <w:pPr>
        <w:shd w:fill="ffffff" w:val="clear"/>
        <w:spacing w:line="276" w:lineRule="auto"/>
        <w:jc w:val="both"/>
        <w:rPr>
          <w:rFonts w:ascii="Garamond" w:cs="Garamond" w:eastAsia="Garamond" w:hAnsi="Garamond"/>
          <w:color w:val="0563c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spacing w:line="276" w:lineRule="auto"/>
        <w:jc w:val="both"/>
        <w:rPr>
          <w:rFonts w:ascii="Garamond" w:cs="Garamond" w:eastAsia="Garamond" w:hAnsi="Garamond"/>
          <w:color w:val="323e4f"/>
          <w:sz w:val="18"/>
          <w:szCs w:val="18"/>
          <w:u w:val="single"/>
        </w:rPr>
      </w:pPr>
      <w:hyperlink r:id="rId1">
        <w:r w:rsidDel="00000000" w:rsidR="00000000" w:rsidRPr="00000000">
          <w:rPr>
            <w:rFonts w:ascii="Garamond" w:cs="Garamond" w:eastAsia="Garamond" w:hAnsi="Garamond"/>
            <w:color w:val="0563c1"/>
            <w:sz w:val="18"/>
            <w:szCs w:val="18"/>
            <w:u w:val="single"/>
            <w:rtl w:val="0"/>
          </w:rPr>
          <w:t xml:space="preserve">https://nav.gov.hu/ugyfeliranytu/uzemanyag/gjnorma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line="276" w:lineRule="auto"/>
        <w:jc w:val="both"/>
        <w:rPr>
          <w:rFonts w:ascii="Garamond" w:cs="Garamond" w:eastAsia="Garamond" w:hAnsi="Garamond"/>
          <w:color w:val="323e4f"/>
          <w:sz w:val="18"/>
          <w:szCs w:val="18"/>
          <w:u w:val="single"/>
        </w:rPr>
      </w:pPr>
      <w:hyperlink r:id="rId2">
        <w:r w:rsidDel="00000000" w:rsidR="00000000" w:rsidRPr="00000000">
          <w:rPr>
            <w:rFonts w:ascii="Garamond" w:cs="Garamond" w:eastAsia="Garamond" w:hAnsi="Garamond"/>
            <w:color w:val="0563c1"/>
            <w:sz w:val="18"/>
            <w:szCs w:val="18"/>
            <w:u w:val="single"/>
            <w:rtl w:val="0"/>
          </w:rPr>
          <w:t xml:space="preserve">https://nav.gov.hu/ugyfeliranytu/uzemanyag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spacing w:line="276" w:lineRule="auto"/>
        <w:jc w:val="both"/>
        <w:rPr>
          <w:rFonts w:ascii="Garamond" w:cs="Garamond" w:eastAsia="Garamond" w:hAnsi="Garamond"/>
          <w:color w:val="323e4f"/>
          <w:sz w:val="18"/>
          <w:szCs w:val="18"/>
          <w:u w:val="single"/>
        </w:rPr>
      </w:pPr>
      <w:r w:rsidDel="00000000" w:rsidR="00000000" w:rsidRPr="00000000">
        <w:rPr>
          <w:rFonts w:ascii="Garamond" w:cs="Garamond" w:eastAsia="Garamond" w:hAnsi="Garamond"/>
          <w:color w:val="323e4f"/>
          <w:sz w:val="18"/>
          <w:szCs w:val="18"/>
          <w:u w:val="single"/>
          <w:rtl w:val="0"/>
        </w:rPr>
        <w:t xml:space="preserve">https://nav.gov.hu/ugyfeliranytu/uzemanyag/2023-ban-alkalmazhato-uzemanyagarak</w:t>
      </w:r>
    </w:p>
    <w:p w:rsidR="00000000" w:rsidDel="00000000" w:rsidP="00000000" w:rsidRDefault="00000000" w:rsidRPr="00000000" w14:paraId="00000081">
      <w:pPr>
        <w:shd w:fill="ffffff" w:val="clear"/>
        <w:spacing w:line="276" w:lineRule="auto"/>
        <w:jc w:val="both"/>
        <w:rPr>
          <w:rFonts w:ascii="Garamond" w:cs="Garamond" w:eastAsia="Garamond" w:hAnsi="Garamond"/>
          <w:color w:val="323e4f"/>
          <w:sz w:val="18"/>
          <w:szCs w:val="18"/>
          <w:u w:val="single"/>
        </w:rPr>
      </w:pPr>
      <w:hyperlink r:id="rId3">
        <w:r w:rsidDel="00000000" w:rsidR="00000000" w:rsidRPr="00000000">
          <w:rPr>
            <w:rFonts w:ascii="Garamond" w:cs="Garamond" w:eastAsia="Garamond" w:hAnsi="Garamond"/>
            <w:color w:val="323e4f"/>
            <w:sz w:val="18"/>
            <w:szCs w:val="18"/>
            <w:u w:val="single"/>
            <w:rtl w:val="0"/>
          </w:rPr>
          <w:t xml:space="preserve">https://maps.google.com/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3"/>
      <w:tblW w:w="9287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020"/>
      <w:gridCol w:w="3246"/>
      <w:gridCol w:w="3021"/>
      <w:tblGridChange w:id="0">
        <w:tblGrid>
          <w:gridCol w:w="3020"/>
          <w:gridCol w:w="3246"/>
          <w:gridCol w:w="3021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8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22"/>
              <w:szCs w:val="22"/>
            </w:rPr>
            <w:drawing>
              <wp:inline distB="0" distT="0" distL="0" distR="0">
                <wp:extent cx="1920597" cy="476250"/>
                <wp:effectExtent b="0" l="0" r="0" t="0"/>
                <wp:docPr descr="muegyetem" id="12" name="image2.png"/>
                <a:graphic>
                  <a:graphicData uri="http://schemas.openxmlformats.org/drawingml/2006/picture">
                    <pic:pic>
                      <pic:nvPicPr>
                        <pic:cNvPr descr="muegyetem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597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cs="Noto Sans" w:eastAsia="Noto Sans" w:hAnsi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cs="Noto Sans" w:eastAsia="Noto Sans" w:hAnsi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cs="Noto Sans" w:eastAsia="Noto Sans" w:hAnsi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cs="Noto Sans" w:eastAsia="Noto Sans" w:hAnsi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cs="Noto Sans" w:eastAsia="Noto Sans" w:hAnsi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cs="Noto Sans" w:eastAsia="Noto Sans" w:hAnsi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cs="Noto Sans" w:eastAsia="Noto Sans" w:hAnsi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cs="Noto Sans" w:eastAsia="Noto Sans" w:hAnsi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65135F"/>
    <w:rPr>
      <w:lang w:val="en-US"/>
    </w:rPr>
  </w:style>
  <w:style w:type="paragraph" w:styleId="Cmsor1">
    <w:name w:val="heading 1"/>
    <w:basedOn w:val="Norml"/>
    <w:next w:val="Norm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Cmsor2">
    <w:name w:val="heading 2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Cmsor3">
    <w:name w:val="heading 3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msor4">
    <w:name w:val="heading 4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Cmsor5">
    <w:name w:val="heading 5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Cmsor6">
    <w:name w:val="heading 6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m">
    <w:name w:val="Title"/>
    <w:basedOn w:val="Norml"/>
    <w:next w:val="Norm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fej">
    <w:name w:val="header"/>
    <w:basedOn w:val="Norml"/>
    <w:link w:val="lfejChar"/>
    <w:uiPriority w:val="99"/>
    <w:unhideWhenUsed w:val="1"/>
    <w:rsid w:val="00835A28"/>
    <w:pPr>
      <w:tabs>
        <w:tab w:val="center" w:pos="4536"/>
        <w:tab w:val="right" w:pos="9072"/>
      </w:tabs>
    </w:pPr>
    <w:rPr>
      <w:rFonts w:asciiTheme="minorHAnsi" w:cstheme="minorBidi" w:eastAsiaTheme="minorHAnsi" w:hAnsiTheme="minorHAnsi"/>
      <w:sz w:val="22"/>
      <w:szCs w:val="22"/>
      <w:lang w:val="hu-HU"/>
    </w:rPr>
  </w:style>
  <w:style w:type="character" w:styleId="lfejChar" w:customStyle="1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 w:val="1"/>
    <w:rsid w:val="00835A28"/>
    <w:pPr>
      <w:tabs>
        <w:tab w:val="center" w:pos="4536"/>
        <w:tab w:val="right" w:pos="9072"/>
      </w:tabs>
    </w:pPr>
    <w:rPr>
      <w:rFonts w:asciiTheme="minorHAnsi" w:cstheme="minorBidi" w:eastAsiaTheme="minorHAnsi" w:hAnsiTheme="minorHAnsi"/>
      <w:sz w:val="22"/>
      <w:szCs w:val="22"/>
      <w:lang w:val="hu-HU"/>
    </w:rPr>
  </w:style>
  <w:style w:type="character" w:styleId="llbChar" w:customStyle="1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00CA21AD"/>
    <w:rPr>
      <w:color w:val="0563c1" w:themeColor="hyperlink"/>
      <w:u w:val="single"/>
    </w:rPr>
  </w:style>
  <w:style w:type="character" w:styleId="llbChar1" w:customStyle="1">
    <w:name w:val="Élőláb Char1"/>
    <w:basedOn w:val="Bekezdsalapbettpusa"/>
    <w:rsid w:val="00A24190"/>
    <w:rPr>
      <w:sz w:val="24"/>
      <w:szCs w:val="24"/>
    </w:rPr>
  </w:style>
  <w:style w:type="paragraph" w:styleId="Listaszerbekezds">
    <w:name w:val="List Paragraph"/>
    <w:basedOn w:val="Norml"/>
    <w:uiPriority w:val="34"/>
    <w:qFormat w:val="1"/>
    <w:rsid w:val="0063511F"/>
    <w:pPr>
      <w:spacing w:after="160" w:line="259" w:lineRule="auto"/>
      <w:ind w:left="720"/>
      <w:contextualSpacing w:val="1"/>
    </w:pPr>
    <w:rPr>
      <w:rFonts w:ascii="Calibri" w:eastAsia="Calibri" w:hAnsi="Calibri"/>
      <w:sz w:val="22"/>
      <w:szCs w:val="22"/>
      <w:lang w:val="hu-HU"/>
    </w:rPr>
  </w:style>
  <w:style w:type="paragraph" w:styleId="Lbjegyzetszveg">
    <w:name w:val="footnote text"/>
    <w:basedOn w:val="Norml"/>
    <w:link w:val="LbjegyzetszvegChar"/>
    <w:uiPriority w:val="99"/>
    <w:semiHidden w:val="1"/>
    <w:unhideWhenUsed w:val="1"/>
    <w:rsid w:val="0063511F"/>
    <w:rPr>
      <w:rFonts w:ascii="Calibri" w:eastAsia="Calibri" w:hAnsi="Calibri"/>
      <w:sz w:val="20"/>
      <w:szCs w:val="20"/>
      <w:lang w:val="hu-HU"/>
    </w:rPr>
  </w:style>
  <w:style w:type="character" w:styleId="LbjegyzetszvegChar" w:customStyle="1">
    <w:name w:val="Lábjegyzetszöveg Char"/>
    <w:basedOn w:val="Bekezdsalapbettpusa"/>
    <w:link w:val="Lbjegyzetszveg"/>
    <w:uiPriority w:val="99"/>
    <w:semiHidden w:val="1"/>
    <w:rsid w:val="0063511F"/>
    <w:rPr>
      <w:rFonts w:ascii="Calibri" w:cs="Times New Roman" w:eastAsia="Calibri" w:hAnsi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 w:val="1"/>
    <w:unhideWhenUsed w:val="1"/>
    <w:rsid w:val="0063511F"/>
    <w:rPr>
      <w:vertAlign w:val="superscript"/>
    </w:rPr>
  </w:style>
  <w:style w:type="character" w:styleId="Kiemels2">
    <w:name w:val="Strong"/>
    <w:qFormat w:val="1"/>
    <w:rsid w:val="0057441C"/>
    <w:rPr>
      <w:b w:val="1"/>
      <w:bCs w:val="1"/>
    </w:rPr>
  </w:style>
  <w:style w:type="paragraph" w:styleId="Szvegtrzs">
    <w:name w:val="Body Text"/>
    <w:basedOn w:val="Norml"/>
    <w:link w:val="SzvegtrzsChar"/>
    <w:rsid w:val="0057441C"/>
    <w:pPr>
      <w:suppressAutoHyphens w:val="1"/>
      <w:spacing w:after="140" w:line="288" w:lineRule="auto"/>
    </w:pPr>
    <w:rPr>
      <w:rFonts w:ascii="Liberation Serif" w:cs="FreeSans" w:eastAsia="Noto Sans CJK SC Regular" w:hAnsi="Liberation Serif"/>
      <w:kern w:val="1"/>
      <w:lang w:bidi="hi-IN" w:eastAsia="zh-CN"/>
    </w:rPr>
  </w:style>
  <w:style w:type="character" w:styleId="SzvegtrzsChar" w:customStyle="1">
    <w:name w:val="Szövegtörzs Char"/>
    <w:basedOn w:val="Bekezdsalapbettpusa"/>
    <w:link w:val="Szvegtrzs"/>
    <w:rsid w:val="0057441C"/>
    <w:rPr>
      <w:rFonts w:ascii="Liberation Serif" w:cs="FreeSans" w:eastAsia="Noto Sans CJK SC Regular" w:hAnsi="Liberation Serif"/>
      <w:kern w:val="1"/>
      <w:sz w:val="24"/>
      <w:szCs w:val="24"/>
      <w:lang w:bidi="hi-IN" w:eastAsia="zh-CN" w:val="en-US"/>
    </w:rPr>
  </w:style>
  <w:style w:type="paragraph" w:styleId="TableContents" w:customStyle="1">
    <w:name w:val="Table Contents"/>
    <w:basedOn w:val="Norml"/>
    <w:rsid w:val="0057441C"/>
    <w:pPr>
      <w:suppressLineNumbers w:val="1"/>
      <w:suppressAutoHyphens w:val="1"/>
    </w:pPr>
    <w:rPr>
      <w:rFonts w:ascii="Liberation Serif" w:cs="FreeSans" w:eastAsia="Noto Sans CJK SC Regular" w:hAnsi="Liberation Serif"/>
      <w:kern w:val="1"/>
      <w:lang w:bidi="hi-IN" w:eastAsia="zh-CN"/>
    </w:rPr>
  </w:style>
  <w:style w:type="character" w:styleId="Jegyzethivatkozs">
    <w:name w:val="annotation reference"/>
    <w:uiPriority w:val="99"/>
    <w:semiHidden w:val="1"/>
    <w:unhideWhenUsed w:val="1"/>
    <w:rPr>
      <w:sz w:val="16"/>
      <w:szCs w:val="16"/>
    </w:rPr>
  </w:style>
  <w:style w:type="paragraph" w:styleId="Jegyzetszveg">
    <w:name w:val="annotation text"/>
    <w:link w:val="JegyzetszvegChar1"/>
    <w:uiPriority w:val="99"/>
    <w:unhideWhenUsed w:val="1"/>
    <w:rPr>
      <w:sz w:val="20"/>
      <w:szCs w:val="20"/>
    </w:rPr>
  </w:style>
  <w:style w:type="character" w:styleId="JegyzetszvegChar" w:customStyle="1">
    <w:name w:val="Jegyzetszöveg Char"/>
    <w:basedOn w:val="Bekezdsalapbettpusa"/>
    <w:qFormat w:val="1"/>
    <w:rsid w:val="00F26D25"/>
    <w:rPr>
      <w:rFonts w:ascii="Times New Roman" w:cs="Times New Roman" w:eastAsia="Times New Roman" w:hAnsi="Times New Roman"/>
      <w:sz w:val="20"/>
      <w:szCs w:val="20"/>
      <w:lang w:val="en-US"/>
    </w:rPr>
  </w:style>
  <w:style w:type="paragraph" w:styleId="Megjegyzstrgya">
    <w:name w:val="annotation subject"/>
    <w:basedOn w:val="Jegyzetszveg"/>
    <w:next w:val="Jegyzetszveg"/>
    <w:link w:val="MegjegyzstrgyaChar1"/>
    <w:uiPriority w:val="99"/>
    <w:semiHidden w:val="1"/>
    <w:unhideWhenUsed w:val="1"/>
    <w:rPr>
      <w:b w:val="1"/>
      <w:bCs w:val="1"/>
    </w:rPr>
  </w:style>
  <w:style w:type="character" w:styleId="MegjegyzstrgyaChar" w:customStyle="1">
    <w:name w:val="Megjegyzés tárgya Char"/>
    <w:basedOn w:val="JegyzetszvegChar"/>
    <w:uiPriority w:val="99"/>
    <w:semiHidden w:val="1"/>
    <w:rsid w:val="00F26D25"/>
    <w:rPr>
      <w:rFonts w:ascii="Times New Roman" w:cs="Times New Roman" w:eastAsia="Times New Roman" w:hAnsi="Times New Roman"/>
      <w:b w:val="1"/>
      <w:bCs w:val="1"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 w:val="1"/>
    <w:unhideWhenUsed w:val="1"/>
    <w:rsid w:val="00F26D25"/>
    <w:rPr>
      <w:rFonts w:ascii="Segoe UI" w:cs="Segoe UI" w:hAnsi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 w:val="1"/>
    <w:rsid w:val="00F26D25"/>
    <w:rPr>
      <w:rFonts w:ascii="Segoe UI" w:cs="Segoe UI" w:eastAsia="Times New Roman" w:hAnsi="Segoe UI"/>
      <w:sz w:val="18"/>
      <w:szCs w:val="18"/>
      <w:lang w:val="en-US"/>
    </w:rPr>
  </w:style>
  <w:style w:type="character" w:styleId="Mrltotthiperhivatkozs">
    <w:name w:val="FollowedHyperlink"/>
    <w:basedOn w:val="Bekezdsalapbettpusa"/>
    <w:uiPriority w:val="99"/>
    <w:semiHidden w:val="1"/>
    <w:unhideWhenUsed w:val="1"/>
    <w:rsid w:val="007C24A6"/>
    <w:rPr>
      <w:color w:val="954f72" w:themeColor="followedHyperlink"/>
      <w:u w:val="single"/>
    </w:rPr>
  </w:style>
  <w:style w:type="paragraph" w:styleId="m772783315710601818msoplaintext" w:customStyle="1">
    <w:name w:val="m_772783315710601818msoplaintext"/>
    <w:basedOn w:val="Norml"/>
    <w:rsid w:val="00435432"/>
    <w:pPr>
      <w:spacing w:after="100" w:afterAutospacing="1" w:before="100" w:beforeAutospacing="1"/>
    </w:pPr>
    <w:rPr>
      <w:lang w:val="hu-HU"/>
    </w:rPr>
  </w:style>
  <w:style w:type="paragraph" w:styleId="NormlWeb">
    <w:name w:val="Normal (Web)"/>
    <w:basedOn w:val="Norml"/>
    <w:uiPriority w:val="99"/>
    <w:unhideWhenUsed w:val="1"/>
    <w:rsid w:val="00DC6C73"/>
    <w:pPr>
      <w:spacing w:after="100" w:afterAutospacing="1" w:before="100" w:beforeAutospacing="1"/>
    </w:pPr>
    <w:rPr>
      <w:lang w:val="hu-HU"/>
    </w:rPr>
  </w:style>
  <w:style w:type="paragraph" w:styleId="Vltozat">
    <w:name w:val="Revision"/>
    <w:hidden w:val="1"/>
    <w:uiPriority w:val="99"/>
    <w:semiHidden w:val="1"/>
    <w:rsid w:val="00062304"/>
    <w:rPr>
      <w:lang w:val="en-US"/>
    </w:rPr>
  </w:style>
  <w:style w:type="character" w:styleId="MegjegyzstrgyaChar1" w:customStyle="1">
    <w:name w:val="Megjegyzés tárgya Char1"/>
    <w:basedOn w:val="JegyzetszvegChar1"/>
    <w:link w:val="Megjegyzstrgya"/>
    <w:uiPriority w:val="99"/>
    <w:semiHidden w:val="1"/>
    <w:rPr>
      <w:b w:val="1"/>
      <w:bCs w:val="1"/>
      <w:sz w:val="20"/>
      <w:szCs w:val="20"/>
    </w:rPr>
  </w:style>
  <w:style w:type="character" w:styleId="JegyzetszvegChar1" w:customStyle="1">
    <w:name w:val="Jegyzetszöveg Char1"/>
    <w:link w:val="Jegyzetszveg"/>
    <w:uiPriority w:val="99"/>
    <w:rPr>
      <w:sz w:val="20"/>
      <w:szCs w:val="20"/>
    </w:rPr>
  </w:style>
  <w:style w:type="character" w:styleId="Feloldatlanmegemlts">
    <w:name w:val="Unresolved Mention"/>
    <w:basedOn w:val="Bekezdsalapbettpusa"/>
    <w:uiPriority w:val="99"/>
    <w:semiHidden w:val="1"/>
    <w:unhideWhenUsed w:val="1"/>
    <w:rsid w:val="00812B8B"/>
    <w:rPr>
      <w:color w:val="605e5c"/>
      <w:shd w:color="auto" w:fill="e1dfdd" w:val="clear"/>
    </w:rPr>
  </w:style>
  <w:style w:type="paragraph" w:styleId="Alcm">
    <w:name w:val="Subtitle"/>
    <w:basedOn w:val="Norml"/>
    <w:next w:val="Norm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eader" Target="header1.xml"/><Relationship Id="rId10" Type="http://schemas.openxmlformats.org/officeDocument/2006/relationships/hyperlink" Target="https://mueper.bme.hu/" TargetMode="External"/><Relationship Id="rId12" Type="http://schemas.openxmlformats.org/officeDocument/2006/relationships/footer" Target="footer1.xml"/><Relationship Id="rId9" Type="http://schemas.openxmlformats.org/officeDocument/2006/relationships/hyperlink" Target="https://mueper.bme.hu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mueper.bme.hu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-regular.ttf"/><Relationship Id="rId6" Type="http://schemas.openxmlformats.org/officeDocument/2006/relationships/font" Target="fonts/NotoSans-bold.ttf"/><Relationship Id="rId7" Type="http://schemas.openxmlformats.org/officeDocument/2006/relationships/font" Target="fonts/NotoSans-italic.ttf"/><Relationship Id="rId8" Type="http://schemas.openxmlformats.org/officeDocument/2006/relationships/font" Target="fonts/No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nav.gov.hu/ugyfeliranytu/uzemanyag/gjnorma" TargetMode="External"/><Relationship Id="rId2" Type="http://schemas.openxmlformats.org/officeDocument/2006/relationships/hyperlink" Target="https://nav.gov.hu/ugyfeliranytu/uzemanyag" TargetMode="External"/><Relationship Id="rId3" Type="http://schemas.openxmlformats.org/officeDocument/2006/relationships/hyperlink" Target="https://maps.google.com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zs/fA/dNisrdKWoi0v0i51ydSQ==">CgMxLjAyCGguZ2pkZ3hzOABqJQoUc3VnZ2VzdC44dXg1anA4OGdjc3ESDUdlcmfFkSBTemFsYXlqJQoUc3VnZ2VzdC5mZHg1NW92dmJiNzUSDUdlcmfFkSBTemFsYXlqJQoUc3VnZ2VzdC43cTRkZDdiY2VhejASDUdlcmfFkSBTemFsYXlqJAoTc3VnZ2VzdC5ic2g2Z25la3R0MxINR2VyZ8WRIFN6YWxheWolChRzdWdnZXN0LjMxb3YwZ3Y2b2N4ZhINR2VyZ8WRIFN6YWxheWolChRzdWdnZXN0LjljdWd5dmJzOGdseRINR2VyZ8WRIFN6YWxheWolChRzdWdnZXN0LmZiYTRzazYwaWp4ehINR2VyZ8WRIFN6YWxheWolChRzdWdnZXN0LjF1bjMwdWIxdHlqNBINR2VyZ8WRIFN6YWxheWolChRzdWdnZXN0LmM0ZTY0enM4b3RwORINR2VyZ8WRIFN6YWxheWolChRzdWdnZXN0LjRtNzVma3A5d29vaBINR2VyZ8WRIFN6YWxheWolChRzdWdnZXN0LjlmdGY3ZXRnMDkyMRINR2VyZ8WRIFN6YWxheWolChRzdWdnZXN0LjJ1N3Q2Ymc4bzQ5dhINR2VyZ8WRIFN6YWxheXIhMUVadmJhQ3B6cWpEbUJjd1czYXhwTzJsMmFHR1JBU1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2023-05-04T22:13:00Z</dcterms:created>
  <dc:creator>Ferenczi.Bernadett@hszi.bme.hu</dc:creator>
</cp:coreProperties>
</file>